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61" w:rsidRPr="00493EC3" w:rsidRDefault="00595F61" w:rsidP="00FA6576">
      <w:pPr>
        <w:spacing w:line="360" w:lineRule="auto"/>
        <w:jc w:val="both"/>
        <w:rPr>
          <w:b/>
          <w:sz w:val="28"/>
          <w:szCs w:val="28"/>
        </w:rPr>
      </w:pPr>
      <w:r>
        <w:rPr>
          <w:b/>
          <w:sz w:val="28"/>
          <w:szCs w:val="28"/>
        </w:rPr>
        <w:t xml:space="preserve">CHAPTER </w:t>
      </w:r>
      <w:r w:rsidRPr="00493EC3">
        <w:rPr>
          <w:b/>
          <w:sz w:val="28"/>
          <w:szCs w:val="28"/>
        </w:rPr>
        <w:t>V</w:t>
      </w:r>
    </w:p>
    <w:p w:rsidR="00595F61" w:rsidRPr="00493EC3" w:rsidRDefault="00595F61" w:rsidP="00FA6576">
      <w:pPr>
        <w:spacing w:line="360" w:lineRule="auto"/>
        <w:jc w:val="both"/>
        <w:rPr>
          <w:b/>
          <w:sz w:val="28"/>
          <w:szCs w:val="28"/>
        </w:rPr>
      </w:pPr>
      <w:r>
        <w:rPr>
          <w:b/>
          <w:sz w:val="28"/>
          <w:szCs w:val="28"/>
        </w:rPr>
        <w:t>FINDINGS</w:t>
      </w:r>
    </w:p>
    <w:p w:rsidR="00595F61" w:rsidRDefault="00595F61" w:rsidP="00FA6576">
      <w:pPr>
        <w:spacing w:line="360" w:lineRule="auto"/>
        <w:jc w:val="both"/>
      </w:pPr>
    </w:p>
    <w:p w:rsidR="006F068C" w:rsidRPr="00493EC3" w:rsidRDefault="006F068C" w:rsidP="00FA6576">
      <w:pPr>
        <w:spacing w:line="360" w:lineRule="auto"/>
        <w:jc w:val="both"/>
      </w:pPr>
    </w:p>
    <w:p w:rsidR="00595F61" w:rsidRPr="00493EC3" w:rsidRDefault="00595F61" w:rsidP="00FA6576">
      <w:pPr>
        <w:spacing w:line="360" w:lineRule="auto"/>
        <w:jc w:val="both"/>
        <w:rPr>
          <w:b/>
        </w:rPr>
      </w:pPr>
      <w:r>
        <w:rPr>
          <w:b/>
        </w:rPr>
        <w:t>5</w:t>
      </w:r>
      <w:r w:rsidRPr="00493EC3">
        <w:rPr>
          <w:b/>
        </w:rPr>
        <w:t>.1</w:t>
      </w:r>
      <w:r w:rsidRPr="00493EC3">
        <w:rPr>
          <w:b/>
        </w:rPr>
        <w:tab/>
        <w:t>Introduction</w:t>
      </w:r>
    </w:p>
    <w:p w:rsidR="00595F61" w:rsidRDefault="00595F61" w:rsidP="00FA6576">
      <w:pPr>
        <w:spacing w:line="360" w:lineRule="auto"/>
        <w:jc w:val="both"/>
      </w:pPr>
      <w:r w:rsidRPr="00493EC3">
        <w:t xml:space="preserve">This chapter </w:t>
      </w:r>
      <w:r>
        <w:t>depicts</w:t>
      </w:r>
      <w:r w:rsidRPr="00493EC3">
        <w:t xml:space="preserve"> the </w:t>
      </w:r>
      <w:r>
        <w:t xml:space="preserve">findings from the </w:t>
      </w:r>
      <w:r w:rsidR="006F068C">
        <w:t>MARKOR questionnaire conducted withthe Near East Bank employees and the analysis of the Bank’s financial statements and the considerations of the Bank’s managers as to the performance of their company.  The major findings of all the empirical results are also listed in this chapter.</w:t>
      </w:r>
    </w:p>
    <w:p w:rsidR="00595F61" w:rsidRPr="00D647DF" w:rsidRDefault="00595F61" w:rsidP="00FA6576">
      <w:pPr>
        <w:spacing w:line="360" w:lineRule="auto"/>
        <w:jc w:val="both"/>
        <w:rPr>
          <w:b/>
        </w:rPr>
      </w:pPr>
      <w:r w:rsidRPr="00D647DF">
        <w:rPr>
          <w:b/>
        </w:rPr>
        <w:t>5.2</w:t>
      </w:r>
      <w:r w:rsidRPr="00D647DF">
        <w:rPr>
          <w:b/>
        </w:rPr>
        <w:tab/>
        <w:t>Realisation rate</w:t>
      </w:r>
    </w:p>
    <w:p w:rsidR="00595F61" w:rsidRDefault="00D647DF" w:rsidP="00FA6576">
      <w:pPr>
        <w:spacing w:line="360" w:lineRule="auto"/>
        <w:jc w:val="both"/>
      </w:pPr>
      <w:r>
        <w:t>For the purposes of this study a simple random sampling method was opted as described in the previous chapter.  A total of 100 employees of the Near East Bank were approached who were considered relevant to the rationale of this study after a lengthy discussion with the Bank’s human resources personnel.</w:t>
      </w:r>
    </w:p>
    <w:p w:rsidR="00595F61" w:rsidRDefault="00D647DF" w:rsidP="00FA6576">
      <w:pPr>
        <w:spacing w:line="360" w:lineRule="auto"/>
        <w:jc w:val="both"/>
      </w:pPr>
      <w:r>
        <w:t xml:space="preserve">Out of the 100 questionnaires sent to the selected employees in random a total of 80 questionnaires were sent back and were considered as acceptable.  The realisation size was satisfactory as it had </w:t>
      </w:r>
      <w:r w:rsidR="00084A1D">
        <w:t>reached</w:t>
      </w:r>
      <w:r>
        <w:t xml:space="preserve"> a sample</w:t>
      </w:r>
      <w:r w:rsidR="006F068C">
        <w:t xml:space="preserve"> a sample size that provides 95%</w:t>
      </w:r>
      <w:r>
        <w:t xml:space="preserve"> confidence level.</w:t>
      </w:r>
    </w:p>
    <w:p w:rsidR="00D647DF" w:rsidRPr="00084A1D" w:rsidRDefault="00D647DF" w:rsidP="00FA6576">
      <w:pPr>
        <w:spacing w:line="360" w:lineRule="auto"/>
        <w:jc w:val="both"/>
        <w:rPr>
          <w:b/>
        </w:rPr>
      </w:pPr>
      <w:r w:rsidRPr="00084A1D">
        <w:rPr>
          <w:b/>
        </w:rPr>
        <w:t>5.3</w:t>
      </w:r>
      <w:r w:rsidRPr="00084A1D">
        <w:rPr>
          <w:b/>
        </w:rPr>
        <w:tab/>
        <w:t>Reliability</w:t>
      </w:r>
    </w:p>
    <w:p w:rsidR="000D2D61" w:rsidRDefault="00D647DF" w:rsidP="00FA6576">
      <w:pPr>
        <w:spacing w:line="360" w:lineRule="auto"/>
        <w:jc w:val="both"/>
        <w:rPr>
          <w:color w:val="000000" w:themeColor="text1"/>
        </w:rPr>
      </w:pPr>
      <w:proofErr w:type="spellStart"/>
      <w:r w:rsidRPr="000D2D61">
        <w:rPr>
          <w:bCs/>
          <w:color w:val="000000" w:themeColor="text1"/>
        </w:rPr>
        <w:t>Cronbach's</w:t>
      </w:r>
      <w:proofErr w:type="spellEnd"/>
      <w:r w:rsidRPr="000D2D61">
        <w:rPr>
          <w:bCs/>
          <w:noProof/>
          <w:color w:val="000000" w:themeColor="text1"/>
          <w:lang w:val="en-US"/>
        </w:rPr>
        <w:drawing>
          <wp:inline distT="0" distB="0" distL="0" distR="0">
            <wp:extent cx="114300" cy="85725"/>
            <wp:effectExtent l="19050" t="0" r="0" b="0"/>
            <wp:docPr id="1" name="Picture 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7"/>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0D2D61">
        <w:rPr>
          <w:bCs/>
          <w:color w:val="000000" w:themeColor="text1"/>
        </w:rPr>
        <w:t>(alpha)</w:t>
      </w:r>
      <w:r w:rsidRPr="004C511D">
        <w:rPr>
          <w:color w:val="000000" w:themeColor="text1"/>
        </w:rPr>
        <w:t>a</w:t>
      </w:r>
      <w:r w:rsidR="004C511D" w:rsidRPr="004C511D">
        <w:rPr>
          <w:color w:val="000000" w:themeColor="text1"/>
        </w:rPr>
        <w:t>s</w:t>
      </w:r>
      <w:r w:rsidRPr="004C511D">
        <w:rPr>
          <w:color w:val="000000" w:themeColor="text1"/>
        </w:rPr>
        <w:t xml:space="preserve"> coefficient of </w:t>
      </w:r>
      <w:r w:rsidR="004C511D">
        <w:rPr>
          <w:color w:val="000000" w:themeColor="text1"/>
        </w:rPr>
        <w:t>internal consistency was used to</w:t>
      </w:r>
      <w:r w:rsidRPr="004C511D">
        <w:rPr>
          <w:color w:val="000000" w:themeColor="text1"/>
        </w:rPr>
        <w:t xml:space="preserve"> estimate the </w:t>
      </w:r>
      <w:r w:rsidR="004C511D">
        <w:rPr>
          <w:color w:val="000000" w:themeColor="text1"/>
        </w:rPr>
        <w:t>reliability</w:t>
      </w:r>
      <w:r w:rsidR="000D2D61">
        <w:rPr>
          <w:color w:val="000000" w:themeColor="text1"/>
        </w:rPr>
        <w:t xml:space="preserve">of </w:t>
      </w:r>
      <w:r w:rsidR="004C511D">
        <w:rPr>
          <w:color w:val="000000" w:themeColor="text1"/>
        </w:rPr>
        <w:t xml:space="preserve">the responses.  A rate </w:t>
      </w:r>
      <w:r w:rsidR="00084A1D">
        <w:rPr>
          <w:color w:val="000000" w:themeColor="text1"/>
        </w:rPr>
        <w:t xml:space="preserve">of 68% </w:t>
      </w:r>
      <w:r w:rsidR="004C511D">
        <w:rPr>
          <w:color w:val="000000" w:themeColor="text1"/>
        </w:rPr>
        <w:t>was achieved which regarded a</w:t>
      </w:r>
      <w:r w:rsidR="00084A1D">
        <w:rPr>
          <w:color w:val="000000" w:themeColor="text1"/>
        </w:rPr>
        <w:t>s sufficient in social sciences (</w:t>
      </w:r>
      <w:proofErr w:type="spellStart"/>
      <w:r w:rsidR="00084A1D">
        <w:rPr>
          <w:color w:val="000000" w:themeColor="text1"/>
        </w:rPr>
        <w:t>Sekaran</w:t>
      </w:r>
      <w:proofErr w:type="spellEnd"/>
      <w:r w:rsidR="00084A1D">
        <w:rPr>
          <w:color w:val="000000" w:themeColor="text1"/>
        </w:rPr>
        <w:t>, 2003)</w:t>
      </w:r>
    </w:p>
    <w:p w:rsidR="000D2D61" w:rsidRPr="00344BDE" w:rsidRDefault="000D2D61" w:rsidP="00FA6576">
      <w:pPr>
        <w:spacing w:line="360" w:lineRule="auto"/>
        <w:jc w:val="both"/>
        <w:rPr>
          <w:b/>
          <w:color w:val="000000" w:themeColor="text1"/>
        </w:rPr>
      </w:pPr>
      <w:r w:rsidRPr="00344BDE">
        <w:rPr>
          <w:b/>
          <w:color w:val="000000" w:themeColor="text1"/>
        </w:rPr>
        <w:t>5.4</w:t>
      </w:r>
      <w:r w:rsidRPr="00344BDE">
        <w:rPr>
          <w:b/>
          <w:color w:val="000000" w:themeColor="text1"/>
        </w:rPr>
        <w:tab/>
        <w:t>The personal details of the respondents</w:t>
      </w:r>
    </w:p>
    <w:p w:rsidR="000D2D61" w:rsidRDefault="000D2D61" w:rsidP="00FA6576">
      <w:pPr>
        <w:spacing w:line="360" w:lineRule="auto"/>
        <w:jc w:val="both"/>
        <w:rPr>
          <w:color w:val="000000" w:themeColor="text1"/>
        </w:rPr>
      </w:pPr>
      <w:r>
        <w:rPr>
          <w:color w:val="000000" w:themeColor="text1"/>
        </w:rPr>
        <w:t>The first part of the questionnaire was on the personal details of the respondents.  The results are as follows:</w:t>
      </w:r>
    </w:p>
    <w:p w:rsidR="000D2D61" w:rsidRPr="00344BDE" w:rsidRDefault="000D2D61" w:rsidP="00FA6576">
      <w:pPr>
        <w:spacing w:line="360" w:lineRule="auto"/>
        <w:jc w:val="both"/>
        <w:rPr>
          <w:b/>
          <w:color w:val="000000" w:themeColor="text1"/>
        </w:rPr>
      </w:pPr>
      <w:r w:rsidRPr="00344BDE">
        <w:rPr>
          <w:b/>
          <w:color w:val="000000" w:themeColor="text1"/>
        </w:rPr>
        <w:t>5.4.1</w:t>
      </w:r>
      <w:r w:rsidRPr="00344BDE">
        <w:rPr>
          <w:b/>
          <w:color w:val="000000" w:themeColor="text1"/>
        </w:rPr>
        <w:tab/>
        <w:t>Gender</w:t>
      </w:r>
    </w:p>
    <w:p w:rsidR="000D2D61" w:rsidRDefault="000D2D61" w:rsidP="00FA6576">
      <w:pPr>
        <w:spacing w:line="360" w:lineRule="auto"/>
        <w:jc w:val="both"/>
        <w:rPr>
          <w:color w:val="000000" w:themeColor="text1"/>
        </w:rPr>
      </w:pPr>
      <w:r>
        <w:rPr>
          <w:color w:val="000000" w:themeColor="text1"/>
        </w:rPr>
        <w:t>Out of the 80 respondents, a total of 52 were female as represented in Table 5.1 below:</w:t>
      </w:r>
    </w:p>
    <w:p w:rsidR="000D2D61" w:rsidRDefault="000D2D61" w:rsidP="00FA6576">
      <w:pPr>
        <w:spacing w:line="360" w:lineRule="auto"/>
        <w:jc w:val="both"/>
        <w:rPr>
          <w:color w:val="000000" w:themeColor="text1"/>
        </w:rPr>
      </w:pPr>
      <w:r>
        <w:rPr>
          <w:color w:val="000000" w:themeColor="text1"/>
        </w:rPr>
        <w:lastRenderedPageBreak/>
        <w:t>Table 5.1 Composition of Gender of Near East Bank Employees:</w:t>
      </w:r>
    </w:p>
    <w:tbl>
      <w:tblPr>
        <w:tblStyle w:val="TableGrid"/>
        <w:tblW w:w="0" w:type="auto"/>
        <w:tblLook w:val="04A0"/>
      </w:tblPr>
      <w:tblGrid>
        <w:gridCol w:w="882"/>
        <w:gridCol w:w="1153"/>
        <w:gridCol w:w="958"/>
        <w:gridCol w:w="1454"/>
        <w:gridCol w:w="2021"/>
      </w:tblGrid>
      <w:tr w:rsidR="000D2D61" w:rsidTr="000D2D61">
        <w:tc>
          <w:tcPr>
            <w:tcW w:w="0" w:type="auto"/>
          </w:tcPr>
          <w:p w:rsidR="000D2D61" w:rsidRDefault="000D2D61" w:rsidP="00FA6576">
            <w:pPr>
              <w:spacing w:line="360" w:lineRule="auto"/>
              <w:jc w:val="both"/>
              <w:rPr>
                <w:color w:val="000000" w:themeColor="text1"/>
              </w:rPr>
            </w:pPr>
            <w:r>
              <w:rPr>
                <w:color w:val="000000" w:themeColor="text1"/>
              </w:rPr>
              <w:t>Gender</w:t>
            </w:r>
          </w:p>
        </w:tc>
        <w:tc>
          <w:tcPr>
            <w:tcW w:w="0" w:type="auto"/>
          </w:tcPr>
          <w:p w:rsidR="000D2D61" w:rsidRDefault="000D2D61" w:rsidP="00FA6576">
            <w:pPr>
              <w:spacing w:line="360" w:lineRule="auto"/>
              <w:jc w:val="both"/>
              <w:rPr>
                <w:color w:val="000000" w:themeColor="text1"/>
              </w:rPr>
            </w:pPr>
            <w:r>
              <w:rPr>
                <w:color w:val="000000" w:themeColor="text1"/>
              </w:rPr>
              <w:t>Frequency</w:t>
            </w:r>
          </w:p>
        </w:tc>
        <w:tc>
          <w:tcPr>
            <w:tcW w:w="0" w:type="auto"/>
          </w:tcPr>
          <w:p w:rsidR="000D2D61" w:rsidRDefault="001B452E" w:rsidP="00FA6576">
            <w:pPr>
              <w:spacing w:line="360" w:lineRule="auto"/>
              <w:jc w:val="both"/>
              <w:rPr>
                <w:color w:val="000000" w:themeColor="text1"/>
              </w:rPr>
            </w:pPr>
            <w:r>
              <w:rPr>
                <w:color w:val="000000" w:themeColor="text1"/>
              </w:rPr>
              <w:t>Per cent</w:t>
            </w:r>
          </w:p>
        </w:tc>
        <w:tc>
          <w:tcPr>
            <w:tcW w:w="0" w:type="auto"/>
          </w:tcPr>
          <w:p w:rsidR="000D2D61" w:rsidRDefault="000D2D61" w:rsidP="00FA6576">
            <w:pPr>
              <w:spacing w:line="360" w:lineRule="auto"/>
              <w:jc w:val="both"/>
              <w:rPr>
                <w:color w:val="000000" w:themeColor="text1"/>
              </w:rPr>
            </w:pPr>
            <w:r>
              <w:rPr>
                <w:color w:val="000000" w:themeColor="text1"/>
              </w:rPr>
              <w:t xml:space="preserve">Valid </w:t>
            </w:r>
            <w:r w:rsidR="001B452E">
              <w:rPr>
                <w:color w:val="000000" w:themeColor="text1"/>
              </w:rPr>
              <w:t>Per cent</w:t>
            </w:r>
          </w:p>
        </w:tc>
        <w:tc>
          <w:tcPr>
            <w:tcW w:w="0" w:type="auto"/>
          </w:tcPr>
          <w:p w:rsidR="000D2D61" w:rsidRDefault="000D2D61" w:rsidP="00FA6576">
            <w:pPr>
              <w:spacing w:line="360" w:lineRule="auto"/>
              <w:jc w:val="both"/>
              <w:rPr>
                <w:color w:val="000000" w:themeColor="text1"/>
              </w:rPr>
            </w:pPr>
            <w:r>
              <w:rPr>
                <w:color w:val="000000" w:themeColor="text1"/>
              </w:rPr>
              <w:t xml:space="preserve">Cumulative </w:t>
            </w:r>
            <w:r w:rsidR="001B452E">
              <w:rPr>
                <w:color w:val="000000" w:themeColor="text1"/>
              </w:rPr>
              <w:t>Per cent</w:t>
            </w:r>
          </w:p>
        </w:tc>
      </w:tr>
      <w:tr w:rsidR="00344BDE" w:rsidTr="000D2D61">
        <w:tc>
          <w:tcPr>
            <w:tcW w:w="0" w:type="auto"/>
          </w:tcPr>
          <w:p w:rsidR="00344BDE" w:rsidRDefault="00344BDE" w:rsidP="00FA6576">
            <w:pPr>
              <w:spacing w:line="360" w:lineRule="auto"/>
              <w:jc w:val="both"/>
              <w:rPr>
                <w:color w:val="000000" w:themeColor="text1"/>
              </w:rPr>
            </w:pPr>
            <w:r>
              <w:rPr>
                <w:color w:val="000000" w:themeColor="text1"/>
              </w:rPr>
              <w:t>Male</w:t>
            </w:r>
          </w:p>
        </w:tc>
        <w:tc>
          <w:tcPr>
            <w:tcW w:w="0" w:type="auto"/>
          </w:tcPr>
          <w:p w:rsidR="00344BDE" w:rsidRDefault="00344BDE" w:rsidP="00FA6576">
            <w:pPr>
              <w:spacing w:line="360" w:lineRule="auto"/>
              <w:jc w:val="both"/>
              <w:rPr>
                <w:color w:val="000000" w:themeColor="text1"/>
              </w:rPr>
            </w:pPr>
            <w:r>
              <w:rPr>
                <w:color w:val="000000" w:themeColor="text1"/>
              </w:rPr>
              <w:t>28</w:t>
            </w:r>
          </w:p>
        </w:tc>
        <w:tc>
          <w:tcPr>
            <w:tcW w:w="0" w:type="auto"/>
          </w:tcPr>
          <w:p w:rsidR="00344BDE" w:rsidRDefault="00344BDE" w:rsidP="00FA6576">
            <w:pPr>
              <w:spacing w:line="360" w:lineRule="auto"/>
              <w:jc w:val="both"/>
              <w:rPr>
                <w:color w:val="000000" w:themeColor="text1"/>
              </w:rPr>
            </w:pPr>
            <w:r>
              <w:rPr>
                <w:color w:val="000000" w:themeColor="text1"/>
              </w:rPr>
              <w:t>35.0</w:t>
            </w:r>
          </w:p>
        </w:tc>
        <w:tc>
          <w:tcPr>
            <w:tcW w:w="0" w:type="auto"/>
          </w:tcPr>
          <w:p w:rsidR="00344BDE" w:rsidRDefault="00344BDE" w:rsidP="00FA6576">
            <w:pPr>
              <w:spacing w:line="360" w:lineRule="auto"/>
              <w:jc w:val="both"/>
              <w:rPr>
                <w:color w:val="000000" w:themeColor="text1"/>
              </w:rPr>
            </w:pPr>
            <w:r>
              <w:rPr>
                <w:color w:val="000000" w:themeColor="text1"/>
              </w:rPr>
              <w:t>35.0</w:t>
            </w:r>
          </w:p>
        </w:tc>
        <w:tc>
          <w:tcPr>
            <w:tcW w:w="0" w:type="auto"/>
          </w:tcPr>
          <w:p w:rsidR="00344BDE" w:rsidRDefault="00344BDE" w:rsidP="00FA6576">
            <w:pPr>
              <w:spacing w:line="360" w:lineRule="auto"/>
              <w:jc w:val="both"/>
              <w:rPr>
                <w:color w:val="000000" w:themeColor="text1"/>
              </w:rPr>
            </w:pPr>
            <w:r>
              <w:rPr>
                <w:color w:val="000000" w:themeColor="text1"/>
              </w:rPr>
              <w:t>35.0</w:t>
            </w:r>
          </w:p>
        </w:tc>
      </w:tr>
      <w:tr w:rsidR="00344BDE" w:rsidTr="000D2D61">
        <w:tc>
          <w:tcPr>
            <w:tcW w:w="0" w:type="auto"/>
          </w:tcPr>
          <w:p w:rsidR="00344BDE" w:rsidRDefault="00344BDE" w:rsidP="00FA6576">
            <w:pPr>
              <w:spacing w:line="360" w:lineRule="auto"/>
              <w:jc w:val="both"/>
              <w:rPr>
                <w:color w:val="000000" w:themeColor="text1"/>
              </w:rPr>
            </w:pPr>
            <w:r>
              <w:rPr>
                <w:color w:val="000000" w:themeColor="text1"/>
              </w:rPr>
              <w:t>Female</w:t>
            </w:r>
          </w:p>
        </w:tc>
        <w:tc>
          <w:tcPr>
            <w:tcW w:w="0" w:type="auto"/>
          </w:tcPr>
          <w:p w:rsidR="00344BDE" w:rsidRDefault="00344BDE" w:rsidP="00FA6576">
            <w:pPr>
              <w:spacing w:line="360" w:lineRule="auto"/>
              <w:jc w:val="both"/>
              <w:rPr>
                <w:color w:val="000000" w:themeColor="text1"/>
              </w:rPr>
            </w:pPr>
            <w:r>
              <w:rPr>
                <w:color w:val="000000" w:themeColor="text1"/>
              </w:rPr>
              <w:t>52</w:t>
            </w:r>
          </w:p>
        </w:tc>
        <w:tc>
          <w:tcPr>
            <w:tcW w:w="0" w:type="auto"/>
          </w:tcPr>
          <w:p w:rsidR="00344BDE" w:rsidRDefault="00344BDE" w:rsidP="00FA6576">
            <w:pPr>
              <w:spacing w:line="360" w:lineRule="auto"/>
              <w:jc w:val="both"/>
              <w:rPr>
                <w:color w:val="000000" w:themeColor="text1"/>
              </w:rPr>
            </w:pPr>
            <w:r>
              <w:rPr>
                <w:color w:val="000000" w:themeColor="text1"/>
              </w:rPr>
              <w:t>65.0</w:t>
            </w:r>
          </w:p>
        </w:tc>
        <w:tc>
          <w:tcPr>
            <w:tcW w:w="0" w:type="auto"/>
          </w:tcPr>
          <w:p w:rsidR="00344BDE" w:rsidRDefault="00344BDE" w:rsidP="00FA6576">
            <w:pPr>
              <w:spacing w:line="360" w:lineRule="auto"/>
              <w:jc w:val="both"/>
              <w:rPr>
                <w:color w:val="000000" w:themeColor="text1"/>
              </w:rPr>
            </w:pPr>
            <w:r>
              <w:rPr>
                <w:color w:val="000000" w:themeColor="text1"/>
              </w:rPr>
              <w:t>65.0</w:t>
            </w:r>
          </w:p>
        </w:tc>
        <w:tc>
          <w:tcPr>
            <w:tcW w:w="0" w:type="auto"/>
          </w:tcPr>
          <w:p w:rsidR="00344BDE" w:rsidRDefault="00344BDE" w:rsidP="00FA6576">
            <w:pPr>
              <w:spacing w:line="360" w:lineRule="auto"/>
              <w:jc w:val="both"/>
              <w:rPr>
                <w:color w:val="000000" w:themeColor="text1"/>
              </w:rPr>
            </w:pPr>
            <w:r>
              <w:rPr>
                <w:color w:val="000000" w:themeColor="text1"/>
              </w:rPr>
              <w:t>100.0</w:t>
            </w:r>
          </w:p>
        </w:tc>
      </w:tr>
      <w:tr w:rsidR="00344BDE" w:rsidTr="000D2D61">
        <w:tc>
          <w:tcPr>
            <w:tcW w:w="0" w:type="auto"/>
          </w:tcPr>
          <w:p w:rsidR="00344BDE" w:rsidRDefault="00344BDE" w:rsidP="00FA6576">
            <w:pPr>
              <w:spacing w:line="360" w:lineRule="auto"/>
              <w:jc w:val="both"/>
              <w:rPr>
                <w:color w:val="000000" w:themeColor="text1"/>
              </w:rPr>
            </w:pPr>
            <w:r>
              <w:rPr>
                <w:color w:val="000000" w:themeColor="text1"/>
              </w:rPr>
              <w:t xml:space="preserve">Total </w:t>
            </w:r>
          </w:p>
        </w:tc>
        <w:tc>
          <w:tcPr>
            <w:tcW w:w="0" w:type="auto"/>
          </w:tcPr>
          <w:p w:rsidR="00344BDE" w:rsidRDefault="00344BDE" w:rsidP="00FA6576">
            <w:pPr>
              <w:spacing w:line="360" w:lineRule="auto"/>
              <w:jc w:val="both"/>
              <w:rPr>
                <w:color w:val="000000" w:themeColor="text1"/>
              </w:rPr>
            </w:pPr>
            <w:r>
              <w:rPr>
                <w:color w:val="000000" w:themeColor="text1"/>
              </w:rPr>
              <w:t>80</w:t>
            </w:r>
          </w:p>
        </w:tc>
        <w:tc>
          <w:tcPr>
            <w:tcW w:w="0" w:type="auto"/>
          </w:tcPr>
          <w:p w:rsidR="00344BDE" w:rsidRDefault="00344BDE" w:rsidP="00FA6576">
            <w:pPr>
              <w:spacing w:line="360" w:lineRule="auto"/>
              <w:jc w:val="both"/>
              <w:rPr>
                <w:color w:val="000000" w:themeColor="text1"/>
              </w:rPr>
            </w:pPr>
            <w:r>
              <w:rPr>
                <w:color w:val="000000" w:themeColor="text1"/>
              </w:rPr>
              <w:t>100.0</w:t>
            </w:r>
          </w:p>
        </w:tc>
        <w:tc>
          <w:tcPr>
            <w:tcW w:w="0" w:type="auto"/>
          </w:tcPr>
          <w:p w:rsidR="00344BDE" w:rsidRDefault="00344BDE" w:rsidP="00FA6576">
            <w:pPr>
              <w:spacing w:line="360" w:lineRule="auto"/>
              <w:jc w:val="both"/>
              <w:rPr>
                <w:color w:val="000000" w:themeColor="text1"/>
              </w:rPr>
            </w:pPr>
            <w:r>
              <w:rPr>
                <w:color w:val="000000" w:themeColor="text1"/>
              </w:rPr>
              <w:t>100.0</w:t>
            </w:r>
          </w:p>
        </w:tc>
        <w:tc>
          <w:tcPr>
            <w:tcW w:w="0" w:type="auto"/>
          </w:tcPr>
          <w:p w:rsidR="00344BDE" w:rsidRDefault="00344BDE" w:rsidP="00FA6576">
            <w:pPr>
              <w:spacing w:line="360" w:lineRule="auto"/>
              <w:jc w:val="both"/>
              <w:rPr>
                <w:color w:val="000000" w:themeColor="text1"/>
              </w:rPr>
            </w:pPr>
          </w:p>
        </w:tc>
      </w:tr>
    </w:tbl>
    <w:p w:rsidR="000D2D61" w:rsidRDefault="000D2D61" w:rsidP="00FA6576">
      <w:pPr>
        <w:spacing w:line="360" w:lineRule="auto"/>
        <w:jc w:val="both"/>
        <w:rPr>
          <w:color w:val="000000" w:themeColor="text1"/>
        </w:rPr>
      </w:pPr>
    </w:p>
    <w:p w:rsidR="00344BDE" w:rsidRPr="00344BDE" w:rsidRDefault="00344BDE" w:rsidP="00FA6576">
      <w:pPr>
        <w:spacing w:line="360" w:lineRule="auto"/>
        <w:jc w:val="both"/>
        <w:rPr>
          <w:b/>
          <w:color w:val="000000" w:themeColor="text1"/>
        </w:rPr>
      </w:pPr>
      <w:r w:rsidRPr="00344BDE">
        <w:rPr>
          <w:b/>
          <w:color w:val="000000" w:themeColor="text1"/>
        </w:rPr>
        <w:t>Major finding:</w:t>
      </w:r>
      <w:r w:rsidRPr="00344BDE">
        <w:rPr>
          <w:b/>
          <w:color w:val="000000" w:themeColor="text1"/>
        </w:rPr>
        <w:tab/>
      </w:r>
      <w:r>
        <w:rPr>
          <w:b/>
          <w:color w:val="000000" w:themeColor="text1"/>
        </w:rPr>
        <w:t>The majority</w:t>
      </w:r>
      <w:r w:rsidRPr="00344BDE">
        <w:rPr>
          <w:b/>
          <w:color w:val="000000" w:themeColor="text1"/>
        </w:rPr>
        <w:t xml:space="preserve"> of the employees </w:t>
      </w:r>
      <w:r>
        <w:rPr>
          <w:b/>
          <w:color w:val="000000" w:themeColor="text1"/>
        </w:rPr>
        <w:t xml:space="preserve">at the Near East Bank </w:t>
      </w:r>
      <w:r w:rsidR="006F068C">
        <w:rPr>
          <w:b/>
          <w:color w:val="000000" w:themeColor="text1"/>
        </w:rPr>
        <w:t>is</w:t>
      </w:r>
      <w:r w:rsidRPr="00344BDE">
        <w:rPr>
          <w:b/>
          <w:color w:val="000000" w:themeColor="text1"/>
        </w:rPr>
        <w:t xml:space="preserve"> female.</w:t>
      </w:r>
    </w:p>
    <w:p w:rsidR="00344BDE" w:rsidRDefault="00344BDE" w:rsidP="00FA6576">
      <w:pPr>
        <w:spacing w:line="360" w:lineRule="auto"/>
        <w:jc w:val="both"/>
        <w:rPr>
          <w:color w:val="000000" w:themeColor="text1"/>
        </w:rPr>
      </w:pPr>
    </w:p>
    <w:p w:rsidR="00344BDE" w:rsidRDefault="007E0A5E" w:rsidP="00FA6576">
      <w:pPr>
        <w:spacing w:line="360" w:lineRule="auto"/>
        <w:jc w:val="both"/>
        <w:rPr>
          <w:b/>
          <w:color w:val="000000" w:themeColor="text1"/>
        </w:rPr>
      </w:pPr>
      <w:r>
        <w:rPr>
          <w:b/>
          <w:color w:val="000000" w:themeColor="text1"/>
        </w:rPr>
        <w:t>5.4.2</w:t>
      </w:r>
      <w:r w:rsidR="00344BDE">
        <w:rPr>
          <w:b/>
          <w:color w:val="000000" w:themeColor="text1"/>
        </w:rPr>
        <w:tab/>
        <w:t>Age</w:t>
      </w:r>
    </w:p>
    <w:p w:rsidR="00344BDE" w:rsidRDefault="00344BDE" w:rsidP="00FA6576">
      <w:pPr>
        <w:spacing w:line="360" w:lineRule="auto"/>
        <w:jc w:val="both"/>
        <w:rPr>
          <w:color w:val="000000" w:themeColor="text1"/>
        </w:rPr>
      </w:pPr>
      <w:r>
        <w:rPr>
          <w:color w:val="000000" w:themeColor="text1"/>
        </w:rPr>
        <w:t>The age of the respondents were classified into four age groups.  The results revealed the following:</w:t>
      </w:r>
    </w:p>
    <w:p w:rsidR="00344BDE" w:rsidRDefault="00344BDE" w:rsidP="00FA6576">
      <w:pPr>
        <w:spacing w:line="360" w:lineRule="auto"/>
        <w:jc w:val="both"/>
        <w:rPr>
          <w:color w:val="000000" w:themeColor="text1"/>
        </w:rPr>
      </w:pPr>
      <w:r>
        <w:rPr>
          <w:color w:val="000000" w:themeColor="text1"/>
        </w:rPr>
        <w:t>Table 5.2</w:t>
      </w:r>
      <w:r>
        <w:rPr>
          <w:color w:val="000000" w:themeColor="text1"/>
        </w:rPr>
        <w:tab/>
        <w:t>Age groups of the Near East Bank Employees</w:t>
      </w:r>
    </w:p>
    <w:tbl>
      <w:tblPr>
        <w:tblStyle w:val="TableGrid"/>
        <w:tblW w:w="0" w:type="auto"/>
        <w:tblLook w:val="04A0"/>
      </w:tblPr>
      <w:tblGrid>
        <w:gridCol w:w="1421"/>
        <w:gridCol w:w="1153"/>
        <w:gridCol w:w="958"/>
        <w:gridCol w:w="1456"/>
        <w:gridCol w:w="2023"/>
      </w:tblGrid>
      <w:tr w:rsidR="00344BDE" w:rsidTr="005826D5">
        <w:tc>
          <w:tcPr>
            <w:tcW w:w="0" w:type="auto"/>
          </w:tcPr>
          <w:p w:rsidR="00344BDE" w:rsidRDefault="00344BDE" w:rsidP="00FA6576">
            <w:pPr>
              <w:spacing w:line="360" w:lineRule="auto"/>
              <w:jc w:val="both"/>
              <w:rPr>
                <w:color w:val="000000" w:themeColor="text1"/>
              </w:rPr>
            </w:pPr>
            <w:r>
              <w:rPr>
                <w:color w:val="000000" w:themeColor="text1"/>
              </w:rPr>
              <w:t>Age group</w:t>
            </w:r>
          </w:p>
        </w:tc>
        <w:tc>
          <w:tcPr>
            <w:tcW w:w="0" w:type="auto"/>
          </w:tcPr>
          <w:p w:rsidR="00344BDE" w:rsidRDefault="00344BDE" w:rsidP="00FA6576">
            <w:pPr>
              <w:spacing w:line="360" w:lineRule="auto"/>
              <w:jc w:val="both"/>
              <w:rPr>
                <w:color w:val="000000" w:themeColor="text1"/>
              </w:rPr>
            </w:pPr>
            <w:r>
              <w:rPr>
                <w:color w:val="000000" w:themeColor="text1"/>
              </w:rPr>
              <w:t>Frequency</w:t>
            </w:r>
          </w:p>
        </w:tc>
        <w:tc>
          <w:tcPr>
            <w:tcW w:w="0" w:type="auto"/>
          </w:tcPr>
          <w:p w:rsidR="00344BDE" w:rsidRDefault="001B452E" w:rsidP="00FA6576">
            <w:pPr>
              <w:spacing w:line="360" w:lineRule="auto"/>
              <w:jc w:val="both"/>
              <w:rPr>
                <w:color w:val="000000" w:themeColor="text1"/>
              </w:rPr>
            </w:pPr>
            <w:r>
              <w:rPr>
                <w:color w:val="000000" w:themeColor="text1"/>
              </w:rPr>
              <w:t>Per cent</w:t>
            </w:r>
          </w:p>
        </w:tc>
        <w:tc>
          <w:tcPr>
            <w:tcW w:w="0" w:type="auto"/>
          </w:tcPr>
          <w:p w:rsidR="00344BDE" w:rsidRDefault="00344BDE" w:rsidP="00FA6576">
            <w:pPr>
              <w:spacing w:line="360" w:lineRule="auto"/>
              <w:jc w:val="both"/>
              <w:rPr>
                <w:color w:val="000000" w:themeColor="text1"/>
              </w:rPr>
            </w:pPr>
            <w:r>
              <w:rPr>
                <w:color w:val="000000" w:themeColor="text1"/>
              </w:rPr>
              <w:t xml:space="preserve">Valid </w:t>
            </w:r>
            <w:r w:rsidR="001B452E">
              <w:rPr>
                <w:color w:val="000000" w:themeColor="text1"/>
              </w:rPr>
              <w:t>per cent</w:t>
            </w:r>
          </w:p>
        </w:tc>
        <w:tc>
          <w:tcPr>
            <w:tcW w:w="0" w:type="auto"/>
          </w:tcPr>
          <w:p w:rsidR="00344BDE" w:rsidRDefault="00344BDE" w:rsidP="00FA6576">
            <w:pPr>
              <w:spacing w:line="360" w:lineRule="auto"/>
              <w:jc w:val="both"/>
              <w:rPr>
                <w:color w:val="000000" w:themeColor="text1"/>
              </w:rPr>
            </w:pPr>
            <w:r>
              <w:rPr>
                <w:color w:val="000000" w:themeColor="text1"/>
              </w:rPr>
              <w:t xml:space="preserve">Cumulative </w:t>
            </w:r>
            <w:r w:rsidR="001B452E">
              <w:rPr>
                <w:color w:val="000000" w:themeColor="text1"/>
              </w:rPr>
              <w:t>per cent</w:t>
            </w:r>
          </w:p>
        </w:tc>
      </w:tr>
      <w:tr w:rsidR="00344BDE" w:rsidTr="005826D5">
        <w:tc>
          <w:tcPr>
            <w:tcW w:w="0" w:type="auto"/>
          </w:tcPr>
          <w:p w:rsidR="00344BDE" w:rsidRDefault="00344BDE" w:rsidP="00FA6576">
            <w:pPr>
              <w:spacing w:line="360" w:lineRule="auto"/>
              <w:jc w:val="both"/>
              <w:rPr>
                <w:color w:val="000000" w:themeColor="text1"/>
              </w:rPr>
            </w:pPr>
            <w:r>
              <w:rPr>
                <w:color w:val="000000" w:themeColor="text1"/>
              </w:rPr>
              <w:t>18-24</w:t>
            </w:r>
          </w:p>
        </w:tc>
        <w:tc>
          <w:tcPr>
            <w:tcW w:w="0" w:type="auto"/>
          </w:tcPr>
          <w:p w:rsidR="00344BDE" w:rsidRDefault="00344BDE" w:rsidP="00FA6576">
            <w:pPr>
              <w:spacing w:line="360" w:lineRule="auto"/>
              <w:jc w:val="both"/>
              <w:rPr>
                <w:color w:val="000000" w:themeColor="text1"/>
              </w:rPr>
            </w:pPr>
            <w:r>
              <w:rPr>
                <w:color w:val="000000" w:themeColor="text1"/>
              </w:rPr>
              <w:t>10</w:t>
            </w:r>
          </w:p>
        </w:tc>
        <w:tc>
          <w:tcPr>
            <w:tcW w:w="0" w:type="auto"/>
          </w:tcPr>
          <w:p w:rsidR="00344BDE" w:rsidRDefault="00344BDE" w:rsidP="00FA6576">
            <w:pPr>
              <w:spacing w:line="360" w:lineRule="auto"/>
              <w:jc w:val="both"/>
              <w:rPr>
                <w:color w:val="000000" w:themeColor="text1"/>
              </w:rPr>
            </w:pPr>
            <w:r>
              <w:rPr>
                <w:color w:val="000000" w:themeColor="text1"/>
              </w:rPr>
              <w:t>12.5</w:t>
            </w:r>
          </w:p>
        </w:tc>
        <w:tc>
          <w:tcPr>
            <w:tcW w:w="0" w:type="auto"/>
          </w:tcPr>
          <w:p w:rsidR="00344BDE" w:rsidRDefault="00344BDE" w:rsidP="00FA6576">
            <w:pPr>
              <w:spacing w:line="360" w:lineRule="auto"/>
              <w:jc w:val="both"/>
              <w:rPr>
                <w:color w:val="000000" w:themeColor="text1"/>
              </w:rPr>
            </w:pPr>
            <w:r>
              <w:rPr>
                <w:color w:val="000000" w:themeColor="text1"/>
              </w:rPr>
              <w:t>12.5</w:t>
            </w:r>
          </w:p>
        </w:tc>
        <w:tc>
          <w:tcPr>
            <w:tcW w:w="0" w:type="auto"/>
          </w:tcPr>
          <w:p w:rsidR="00344BDE" w:rsidRDefault="00344BDE" w:rsidP="00FA6576">
            <w:pPr>
              <w:spacing w:line="360" w:lineRule="auto"/>
              <w:jc w:val="both"/>
              <w:rPr>
                <w:color w:val="000000" w:themeColor="text1"/>
              </w:rPr>
            </w:pPr>
            <w:r>
              <w:rPr>
                <w:color w:val="000000" w:themeColor="text1"/>
              </w:rPr>
              <w:t>12.5</w:t>
            </w:r>
          </w:p>
        </w:tc>
      </w:tr>
      <w:tr w:rsidR="00344BDE" w:rsidTr="005826D5">
        <w:tc>
          <w:tcPr>
            <w:tcW w:w="0" w:type="auto"/>
          </w:tcPr>
          <w:p w:rsidR="00344BDE" w:rsidRDefault="00344BDE" w:rsidP="00FA6576">
            <w:pPr>
              <w:spacing w:line="360" w:lineRule="auto"/>
              <w:jc w:val="both"/>
              <w:rPr>
                <w:color w:val="000000" w:themeColor="text1"/>
              </w:rPr>
            </w:pPr>
            <w:r>
              <w:rPr>
                <w:color w:val="000000" w:themeColor="text1"/>
              </w:rPr>
              <w:t>25-29</w:t>
            </w:r>
          </w:p>
        </w:tc>
        <w:tc>
          <w:tcPr>
            <w:tcW w:w="0" w:type="auto"/>
          </w:tcPr>
          <w:p w:rsidR="00344BDE" w:rsidRDefault="00344BDE" w:rsidP="00FA6576">
            <w:pPr>
              <w:spacing w:line="360" w:lineRule="auto"/>
              <w:jc w:val="both"/>
              <w:rPr>
                <w:color w:val="000000" w:themeColor="text1"/>
              </w:rPr>
            </w:pPr>
            <w:r>
              <w:rPr>
                <w:color w:val="000000" w:themeColor="text1"/>
              </w:rPr>
              <w:t>42</w:t>
            </w:r>
          </w:p>
        </w:tc>
        <w:tc>
          <w:tcPr>
            <w:tcW w:w="0" w:type="auto"/>
          </w:tcPr>
          <w:p w:rsidR="00344BDE" w:rsidRDefault="00344BDE" w:rsidP="00FA6576">
            <w:pPr>
              <w:spacing w:line="360" w:lineRule="auto"/>
              <w:jc w:val="both"/>
              <w:rPr>
                <w:color w:val="000000" w:themeColor="text1"/>
              </w:rPr>
            </w:pPr>
            <w:r>
              <w:rPr>
                <w:color w:val="000000" w:themeColor="text1"/>
              </w:rPr>
              <w:t>52.5</w:t>
            </w:r>
          </w:p>
        </w:tc>
        <w:tc>
          <w:tcPr>
            <w:tcW w:w="0" w:type="auto"/>
          </w:tcPr>
          <w:p w:rsidR="00344BDE" w:rsidRDefault="00344BDE" w:rsidP="00FA6576">
            <w:pPr>
              <w:spacing w:line="360" w:lineRule="auto"/>
              <w:jc w:val="both"/>
              <w:rPr>
                <w:color w:val="000000" w:themeColor="text1"/>
              </w:rPr>
            </w:pPr>
            <w:r>
              <w:rPr>
                <w:color w:val="000000" w:themeColor="text1"/>
              </w:rPr>
              <w:t>52.5</w:t>
            </w:r>
          </w:p>
        </w:tc>
        <w:tc>
          <w:tcPr>
            <w:tcW w:w="0" w:type="auto"/>
          </w:tcPr>
          <w:p w:rsidR="00344BDE" w:rsidRDefault="00344BDE" w:rsidP="00FA6576">
            <w:pPr>
              <w:spacing w:line="360" w:lineRule="auto"/>
              <w:jc w:val="both"/>
              <w:rPr>
                <w:color w:val="000000" w:themeColor="text1"/>
              </w:rPr>
            </w:pPr>
            <w:r>
              <w:rPr>
                <w:color w:val="000000" w:themeColor="text1"/>
              </w:rPr>
              <w:t>65.0</w:t>
            </w:r>
          </w:p>
        </w:tc>
      </w:tr>
      <w:tr w:rsidR="00344BDE" w:rsidTr="005826D5">
        <w:tc>
          <w:tcPr>
            <w:tcW w:w="0" w:type="auto"/>
          </w:tcPr>
          <w:p w:rsidR="00344BDE" w:rsidRDefault="00344BDE" w:rsidP="00FA6576">
            <w:pPr>
              <w:spacing w:line="360" w:lineRule="auto"/>
              <w:jc w:val="both"/>
              <w:rPr>
                <w:color w:val="000000" w:themeColor="text1"/>
              </w:rPr>
            </w:pPr>
            <w:r>
              <w:rPr>
                <w:color w:val="000000" w:themeColor="text1"/>
              </w:rPr>
              <w:t>30-44</w:t>
            </w:r>
          </w:p>
        </w:tc>
        <w:tc>
          <w:tcPr>
            <w:tcW w:w="0" w:type="auto"/>
          </w:tcPr>
          <w:p w:rsidR="00344BDE" w:rsidRDefault="00344BDE" w:rsidP="00FA6576">
            <w:pPr>
              <w:spacing w:line="360" w:lineRule="auto"/>
              <w:jc w:val="both"/>
              <w:rPr>
                <w:color w:val="000000" w:themeColor="text1"/>
              </w:rPr>
            </w:pPr>
            <w:r>
              <w:rPr>
                <w:color w:val="000000" w:themeColor="text1"/>
              </w:rPr>
              <w:t>17</w:t>
            </w:r>
          </w:p>
        </w:tc>
        <w:tc>
          <w:tcPr>
            <w:tcW w:w="0" w:type="auto"/>
          </w:tcPr>
          <w:p w:rsidR="00344BDE" w:rsidRDefault="00344BDE" w:rsidP="00FA6576">
            <w:pPr>
              <w:spacing w:line="360" w:lineRule="auto"/>
              <w:jc w:val="both"/>
              <w:rPr>
                <w:color w:val="000000" w:themeColor="text1"/>
              </w:rPr>
            </w:pPr>
            <w:r>
              <w:rPr>
                <w:color w:val="000000" w:themeColor="text1"/>
              </w:rPr>
              <w:t>21.3</w:t>
            </w:r>
          </w:p>
        </w:tc>
        <w:tc>
          <w:tcPr>
            <w:tcW w:w="0" w:type="auto"/>
          </w:tcPr>
          <w:p w:rsidR="00344BDE" w:rsidRDefault="00344BDE" w:rsidP="00FA6576">
            <w:pPr>
              <w:spacing w:line="360" w:lineRule="auto"/>
              <w:jc w:val="both"/>
              <w:rPr>
                <w:color w:val="000000" w:themeColor="text1"/>
              </w:rPr>
            </w:pPr>
            <w:r>
              <w:rPr>
                <w:color w:val="000000" w:themeColor="text1"/>
              </w:rPr>
              <w:t>21.3</w:t>
            </w:r>
          </w:p>
        </w:tc>
        <w:tc>
          <w:tcPr>
            <w:tcW w:w="0" w:type="auto"/>
          </w:tcPr>
          <w:p w:rsidR="00344BDE" w:rsidRDefault="00344BDE" w:rsidP="00FA6576">
            <w:pPr>
              <w:spacing w:line="360" w:lineRule="auto"/>
              <w:jc w:val="both"/>
              <w:rPr>
                <w:color w:val="000000" w:themeColor="text1"/>
              </w:rPr>
            </w:pPr>
            <w:r>
              <w:rPr>
                <w:color w:val="000000" w:themeColor="text1"/>
              </w:rPr>
              <w:t>86.3</w:t>
            </w:r>
          </w:p>
        </w:tc>
      </w:tr>
      <w:tr w:rsidR="00344BDE" w:rsidTr="005826D5">
        <w:tc>
          <w:tcPr>
            <w:tcW w:w="0" w:type="auto"/>
          </w:tcPr>
          <w:p w:rsidR="00344BDE" w:rsidRDefault="00AA0351" w:rsidP="00FA6576">
            <w:pPr>
              <w:spacing w:line="360" w:lineRule="auto"/>
              <w:jc w:val="both"/>
              <w:rPr>
                <w:color w:val="000000" w:themeColor="text1"/>
              </w:rPr>
            </w:pPr>
            <w:r>
              <w:rPr>
                <w:color w:val="000000" w:themeColor="text1"/>
              </w:rPr>
              <w:t>45 and above</w:t>
            </w:r>
          </w:p>
        </w:tc>
        <w:tc>
          <w:tcPr>
            <w:tcW w:w="0" w:type="auto"/>
          </w:tcPr>
          <w:p w:rsidR="00344BDE" w:rsidRDefault="00AA0351" w:rsidP="00FA6576">
            <w:pPr>
              <w:spacing w:line="360" w:lineRule="auto"/>
              <w:jc w:val="both"/>
              <w:rPr>
                <w:color w:val="000000" w:themeColor="text1"/>
              </w:rPr>
            </w:pPr>
            <w:r>
              <w:rPr>
                <w:color w:val="000000" w:themeColor="text1"/>
              </w:rPr>
              <w:t>11</w:t>
            </w:r>
          </w:p>
        </w:tc>
        <w:tc>
          <w:tcPr>
            <w:tcW w:w="0" w:type="auto"/>
          </w:tcPr>
          <w:p w:rsidR="00344BDE" w:rsidRDefault="00AA0351" w:rsidP="00FA6576">
            <w:pPr>
              <w:spacing w:line="360" w:lineRule="auto"/>
              <w:jc w:val="both"/>
              <w:rPr>
                <w:color w:val="000000" w:themeColor="text1"/>
              </w:rPr>
            </w:pPr>
            <w:r>
              <w:rPr>
                <w:color w:val="000000" w:themeColor="text1"/>
              </w:rPr>
              <w:t>13.8</w:t>
            </w:r>
          </w:p>
        </w:tc>
        <w:tc>
          <w:tcPr>
            <w:tcW w:w="0" w:type="auto"/>
          </w:tcPr>
          <w:p w:rsidR="00344BDE" w:rsidRDefault="00AA0351" w:rsidP="00FA6576">
            <w:pPr>
              <w:spacing w:line="360" w:lineRule="auto"/>
              <w:jc w:val="both"/>
              <w:rPr>
                <w:color w:val="000000" w:themeColor="text1"/>
              </w:rPr>
            </w:pPr>
            <w:r>
              <w:rPr>
                <w:color w:val="000000" w:themeColor="text1"/>
              </w:rPr>
              <w:t>13.8</w:t>
            </w:r>
          </w:p>
        </w:tc>
        <w:tc>
          <w:tcPr>
            <w:tcW w:w="0" w:type="auto"/>
          </w:tcPr>
          <w:p w:rsidR="00344BDE" w:rsidRDefault="00AA0351" w:rsidP="00FA6576">
            <w:pPr>
              <w:spacing w:line="360" w:lineRule="auto"/>
              <w:jc w:val="both"/>
              <w:rPr>
                <w:color w:val="000000" w:themeColor="text1"/>
              </w:rPr>
            </w:pPr>
            <w:r>
              <w:rPr>
                <w:color w:val="000000" w:themeColor="text1"/>
              </w:rPr>
              <w:t>100</w:t>
            </w:r>
          </w:p>
        </w:tc>
      </w:tr>
      <w:tr w:rsidR="00344BDE" w:rsidTr="005826D5">
        <w:tc>
          <w:tcPr>
            <w:tcW w:w="0" w:type="auto"/>
          </w:tcPr>
          <w:p w:rsidR="00344BDE" w:rsidRDefault="00AA0351" w:rsidP="00FA6576">
            <w:pPr>
              <w:spacing w:line="360" w:lineRule="auto"/>
              <w:jc w:val="both"/>
              <w:rPr>
                <w:color w:val="000000" w:themeColor="text1"/>
              </w:rPr>
            </w:pPr>
            <w:r>
              <w:rPr>
                <w:color w:val="000000" w:themeColor="text1"/>
              </w:rPr>
              <w:t>Total</w:t>
            </w:r>
          </w:p>
        </w:tc>
        <w:tc>
          <w:tcPr>
            <w:tcW w:w="0" w:type="auto"/>
          </w:tcPr>
          <w:p w:rsidR="00344BDE" w:rsidRDefault="00AA0351" w:rsidP="00FA6576">
            <w:pPr>
              <w:spacing w:line="360" w:lineRule="auto"/>
              <w:jc w:val="both"/>
              <w:rPr>
                <w:color w:val="000000" w:themeColor="text1"/>
              </w:rPr>
            </w:pPr>
            <w:r>
              <w:rPr>
                <w:color w:val="000000" w:themeColor="text1"/>
              </w:rPr>
              <w:t>80</w:t>
            </w:r>
          </w:p>
        </w:tc>
        <w:tc>
          <w:tcPr>
            <w:tcW w:w="0" w:type="auto"/>
          </w:tcPr>
          <w:p w:rsidR="00344BDE" w:rsidRDefault="00AA0351" w:rsidP="00FA6576">
            <w:pPr>
              <w:spacing w:line="360" w:lineRule="auto"/>
              <w:jc w:val="both"/>
              <w:rPr>
                <w:color w:val="000000" w:themeColor="text1"/>
              </w:rPr>
            </w:pPr>
            <w:r>
              <w:rPr>
                <w:color w:val="000000" w:themeColor="text1"/>
              </w:rPr>
              <w:t>100.0</w:t>
            </w:r>
          </w:p>
        </w:tc>
        <w:tc>
          <w:tcPr>
            <w:tcW w:w="0" w:type="auto"/>
          </w:tcPr>
          <w:p w:rsidR="00344BDE" w:rsidRDefault="00AA0351" w:rsidP="00FA6576">
            <w:pPr>
              <w:spacing w:line="360" w:lineRule="auto"/>
              <w:jc w:val="both"/>
              <w:rPr>
                <w:color w:val="000000" w:themeColor="text1"/>
              </w:rPr>
            </w:pPr>
            <w:r>
              <w:rPr>
                <w:color w:val="000000" w:themeColor="text1"/>
              </w:rPr>
              <w:t>100.0</w:t>
            </w:r>
          </w:p>
        </w:tc>
        <w:tc>
          <w:tcPr>
            <w:tcW w:w="0" w:type="auto"/>
          </w:tcPr>
          <w:p w:rsidR="00344BDE" w:rsidRDefault="00344BDE" w:rsidP="00FA6576">
            <w:pPr>
              <w:spacing w:line="360" w:lineRule="auto"/>
              <w:jc w:val="both"/>
              <w:rPr>
                <w:color w:val="000000" w:themeColor="text1"/>
              </w:rPr>
            </w:pPr>
          </w:p>
        </w:tc>
      </w:tr>
    </w:tbl>
    <w:p w:rsidR="00344BDE" w:rsidRPr="00344BDE" w:rsidRDefault="00344BDE" w:rsidP="00FA6576">
      <w:pPr>
        <w:spacing w:line="360" w:lineRule="auto"/>
        <w:jc w:val="both"/>
        <w:rPr>
          <w:color w:val="000000" w:themeColor="text1"/>
        </w:rPr>
      </w:pPr>
    </w:p>
    <w:p w:rsidR="000D2D61" w:rsidRPr="005826D5" w:rsidRDefault="005826D5" w:rsidP="00FA6576">
      <w:pPr>
        <w:spacing w:line="360" w:lineRule="auto"/>
        <w:jc w:val="both"/>
        <w:rPr>
          <w:b/>
          <w:color w:val="000000" w:themeColor="text1"/>
        </w:rPr>
      </w:pPr>
      <w:r w:rsidRPr="005826D5">
        <w:rPr>
          <w:b/>
          <w:color w:val="000000" w:themeColor="text1"/>
        </w:rPr>
        <w:t>Major finding:</w:t>
      </w:r>
      <w:r w:rsidRPr="005826D5">
        <w:rPr>
          <w:b/>
          <w:color w:val="000000" w:themeColor="text1"/>
        </w:rPr>
        <w:tab/>
        <w:t>A 65% of the Near East Bank employees are under 29 years of age.</w:t>
      </w:r>
    </w:p>
    <w:p w:rsidR="00AA0351" w:rsidRPr="00AA0351" w:rsidRDefault="00AA0351" w:rsidP="00FA6576">
      <w:pPr>
        <w:spacing w:line="360" w:lineRule="auto"/>
        <w:jc w:val="both"/>
      </w:pPr>
    </w:p>
    <w:p w:rsidR="00AA0351" w:rsidRPr="00AA0351" w:rsidRDefault="00AA0351" w:rsidP="00FA6576">
      <w:pPr>
        <w:spacing w:line="360" w:lineRule="auto"/>
        <w:jc w:val="both"/>
      </w:pPr>
    </w:p>
    <w:p w:rsidR="005826D5" w:rsidRPr="007E0A5E" w:rsidRDefault="007E0A5E" w:rsidP="00FA6576">
      <w:pPr>
        <w:spacing w:line="360" w:lineRule="auto"/>
        <w:jc w:val="both"/>
        <w:rPr>
          <w:b/>
        </w:rPr>
      </w:pPr>
      <w:r w:rsidRPr="007E0A5E">
        <w:rPr>
          <w:b/>
        </w:rPr>
        <w:t>5.4.3</w:t>
      </w:r>
      <w:r w:rsidR="005826D5" w:rsidRPr="007E0A5E">
        <w:rPr>
          <w:b/>
        </w:rPr>
        <w:tab/>
      </w:r>
      <w:r w:rsidR="00AA0351" w:rsidRPr="007E0A5E">
        <w:rPr>
          <w:b/>
        </w:rPr>
        <w:t>Years of working in organisation</w:t>
      </w:r>
    </w:p>
    <w:p w:rsidR="005826D5" w:rsidRDefault="005826D5" w:rsidP="00FA6576">
      <w:pPr>
        <w:spacing w:line="360" w:lineRule="auto"/>
        <w:jc w:val="both"/>
      </w:pPr>
      <w:r>
        <w:t>Near East Bank is a young company in that it has been in operation for just over a decade.  Its growth in the last couple of years has been rapid as described by its management.  A fact</w:t>
      </w:r>
      <w:r w:rsidR="007E0A5E">
        <w:t xml:space="preserve">, </w:t>
      </w:r>
      <w:r>
        <w:t>that can easily seen in the table below which shows that over an 80% of the employees have only been with the bank for the last two years.</w:t>
      </w:r>
    </w:p>
    <w:p w:rsidR="005826D5" w:rsidRPr="007E0A5E" w:rsidRDefault="005826D5" w:rsidP="00FA6576">
      <w:pPr>
        <w:spacing w:line="360" w:lineRule="auto"/>
        <w:jc w:val="both"/>
        <w:rPr>
          <w:b/>
        </w:rPr>
      </w:pPr>
      <w:r w:rsidRPr="007E0A5E">
        <w:rPr>
          <w:b/>
        </w:rPr>
        <w:lastRenderedPageBreak/>
        <w:t>Table 5.3 Years of working in the organisation</w:t>
      </w:r>
    </w:p>
    <w:tbl>
      <w:tblPr>
        <w:tblStyle w:val="TableGrid"/>
        <w:tblW w:w="0" w:type="auto"/>
        <w:tblLook w:val="04A0"/>
      </w:tblPr>
      <w:tblGrid>
        <w:gridCol w:w="1310"/>
        <w:gridCol w:w="1153"/>
        <w:gridCol w:w="958"/>
        <w:gridCol w:w="1456"/>
        <w:gridCol w:w="2023"/>
      </w:tblGrid>
      <w:tr w:rsidR="00AA0351" w:rsidTr="005826D5">
        <w:tc>
          <w:tcPr>
            <w:tcW w:w="0" w:type="auto"/>
          </w:tcPr>
          <w:p w:rsidR="00AA0351" w:rsidRDefault="00AA0351" w:rsidP="00FA6576">
            <w:pPr>
              <w:spacing w:line="360" w:lineRule="auto"/>
              <w:jc w:val="both"/>
            </w:pPr>
          </w:p>
        </w:tc>
        <w:tc>
          <w:tcPr>
            <w:tcW w:w="0" w:type="auto"/>
          </w:tcPr>
          <w:p w:rsidR="00AA0351" w:rsidRDefault="00AA0351" w:rsidP="00FA6576">
            <w:pPr>
              <w:spacing w:line="360" w:lineRule="auto"/>
              <w:jc w:val="both"/>
            </w:pPr>
            <w:r>
              <w:t>Frequency</w:t>
            </w:r>
          </w:p>
        </w:tc>
        <w:tc>
          <w:tcPr>
            <w:tcW w:w="0" w:type="auto"/>
          </w:tcPr>
          <w:p w:rsidR="00AA0351" w:rsidRDefault="001B452E" w:rsidP="00FA6576">
            <w:pPr>
              <w:spacing w:line="360" w:lineRule="auto"/>
              <w:jc w:val="both"/>
            </w:pPr>
            <w:r>
              <w:t>Per cent</w:t>
            </w:r>
          </w:p>
        </w:tc>
        <w:tc>
          <w:tcPr>
            <w:tcW w:w="0" w:type="auto"/>
          </w:tcPr>
          <w:p w:rsidR="00AA0351" w:rsidRDefault="00AA0351" w:rsidP="00FA6576">
            <w:pPr>
              <w:spacing w:line="360" w:lineRule="auto"/>
              <w:jc w:val="both"/>
            </w:pPr>
            <w:r>
              <w:t xml:space="preserve">Valid </w:t>
            </w:r>
            <w:r w:rsidR="001B452E">
              <w:t>per cent</w:t>
            </w:r>
          </w:p>
        </w:tc>
        <w:tc>
          <w:tcPr>
            <w:tcW w:w="0" w:type="auto"/>
          </w:tcPr>
          <w:p w:rsidR="00AA0351" w:rsidRDefault="00AA0351" w:rsidP="00FA6576">
            <w:pPr>
              <w:spacing w:line="360" w:lineRule="auto"/>
              <w:jc w:val="both"/>
            </w:pPr>
            <w:r>
              <w:t xml:space="preserve">Cumulative </w:t>
            </w:r>
            <w:r w:rsidR="001B452E">
              <w:t>per cent</w:t>
            </w:r>
          </w:p>
        </w:tc>
      </w:tr>
      <w:tr w:rsidR="00AA0351" w:rsidTr="005826D5">
        <w:tc>
          <w:tcPr>
            <w:tcW w:w="0" w:type="auto"/>
          </w:tcPr>
          <w:p w:rsidR="00AA0351" w:rsidRDefault="00AA0351" w:rsidP="00FA6576">
            <w:pPr>
              <w:spacing w:line="360" w:lineRule="auto"/>
              <w:jc w:val="both"/>
            </w:pPr>
            <w:r>
              <w:t>0-2</w:t>
            </w:r>
          </w:p>
        </w:tc>
        <w:tc>
          <w:tcPr>
            <w:tcW w:w="0" w:type="auto"/>
          </w:tcPr>
          <w:p w:rsidR="00AA0351" w:rsidRDefault="00AA0351" w:rsidP="00FA6576">
            <w:pPr>
              <w:spacing w:line="360" w:lineRule="auto"/>
              <w:jc w:val="both"/>
            </w:pPr>
            <w:r>
              <w:t>39</w:t>
            </w:r>
          </w:p>
        </w:tc>
        <w:tc>
          <w:tcPr>
            <w:tcW w:w="0" w:type="auto"/>
          </w:tcPr>
          <w:p w:rsidR="00AA0351" w:rsidRDefault="00AA0351" w:rsidP="00FA6576">
            <w:pPr>
              <w:spacing w:line="360" w:lineRule="auto"/>
              <w:jc w:val="both"/>
            </w:pPr>
            <w:r>
              <w:t>48.8</w:t>
            </w:r>
          </w:p>
        </w:tc>
        <w:tc>
          <w:tcPr>
            <w:tcW w:w="0" w:type="auto"/>
          </w:tcPr>
          <w:p w:rsidR="00AA0351" w:rsidRDefault="00AA0351" w:rsidP="00FA6576">
            <w:pPr>
              <w:spacing w:line="360" w:lineRule="auto"/>
              <w:jc w:val="both"/>
            </w:pPr>
            <w:r>
              <w:t>48.8</w:t>
            </w:r>
          </w:p>
        </w:tc>
        <w:tc>
          <w:tcPr>
            <w:tcW w:w="0" w:type="auto"/>
          </w:tcPr>
          <w:p w:rsidR="00AA0351" w:rsidRDefault="00AA0351" w:rsidP="00FA6576">
            <w:pPr>
              <w:spacing w:line="360" w:lineRule="auto"/>
              <w:jc w:val="both"/>
            </w:pPr>
            <w:r>
              <w:t>48.8</w:t>
            </w:r>
          </w:p>
        </w:tc>
      </w:tr>
      <w:tr w:rsidR="00AA0351" w:rsidTr="005826D5">
        <w:tc>
          <w:tcPr>
            <w:tcW w:w="0" w:type="auto"/>
          </w:tcPr>
          <w:p w:rsidR="00AA0351" w:rsidRDefault="00AA0351" w:rsidP="00FA6576">
            <w:pPr>
              <w:spacing w:line="360" w:lineRule="auto"/>
              <w:jc w:val="both"/>
            </w:pPr>
            <w:r>
              <w:t>2-4</w:t>
            </w:r>
          </w:p>
        </w:tc>
        <w:tc>
          <w:tcPr>
            <w:tcW w:w="0" w:type="auto"/>
          </w:tcPr>
          <w:p w:rsidR="00AA0351" w:rsidRDefault="00AA0351" w:rsidP="00FA6576">
            <w:pPr>
              <w:spacing w:line="360" w:lineRule="auto"/>
              <w:jc w:val="both"/>
            </w:pPr>
            <w:r>
              <w:t>28</w:t>
            </w:r>
          </w:p>
        </w:tc>
        <w:tc>
          <w:tcPr>
            <w:tcW w:w="0" w:type="auto"/>
          </w:tcPr>
          <w:p w:rsidR="00AA0351" w:rsidRDefault="00AA0351" w:rsidP="00FA6576">
            <w:pPr>
              <w:spacing w:line="360" w:lineRule="auto"/>
              <w:jc w:val="both"/>
            </w:pPr>
            <w:r>
              <w:t>35.0</w:t>
            </w:r>
          </w:p>
        </w:tc>
        <w:tc>
          <w:tcPr>
            <w:tcW w:w="0" w:type="auto"/>
          </w:tcPr>
          <w:p w:rsidR="00AA0351" w:rsidRDefault="00AA0351" w:rsidP="00FA6576">
            <w:pPr>
              <w:spacing w:line="360" w:lineRule="auto"/>
              <w:jc w:val="both"/>
            </w:pPr>
            <w:r>
              <w:t>35.0</w:t>
            </w:r>
          </w:p>
        </w:tc>
        <w:tc>
          <w:tcPr>
            <w:tcW w:w="0" w:type="auto"/>
          </w:tcPr>
          <w:p w:rsidR="00AA0351" w:rsidRDefault="00AA0351" w:rsidP="00FA6576">
            <w:pPr>
              <w:spacing w:line="360" w:lineRule="auto"/>
              <w:jc w:val="both"/>
            </w:pPr>
            <w:r>
              <w:t>83.8</w:t>
            </w:r>
          </w:p>
        </w:tc>
      </w:tr>
      <w:tr w:rsidR="00AA0351" w:rsidTr="005826D5">
        <w:tc>
          <w:tcPr>
            <w:tcW w:w="0" w:type="auto"/>
          </w:tcPr>
          <w:p w:rsidR="00AA0351" w:rsidRDefault="00AA0351" w:rsidP="00FA6576">
            <w:pPr>
              <w:spacing w:line="360" w:lineRule="auto"/>
              <w:jc w:val="both"/>
            </w:pPr>
            <w:r>
              <w:t>4 and above</w:t>
            </w:r>
          </w:p>
        </w:tc>
        <w:tc>
          <w:tcPr>
            <w:tcW w:w="0" w:type="auto"/>
          </w:tcPr>
          <w:p w:rsidR="00AA0351" w:rsidRDefault="00AA0351" w:rsidP="00FA6576">
            <w:pPr>
              <w:spacing w:line="360" w:lineRule="auto"/>
              <w:jc w:val="both"/>
            </w:pPr>
            <w:r>
              <w:t>13</w:t>
            </w:r>
          </w:p>
        </w:tc>
        <w:tc>
          <w:tcPr>
            <w:tcW w:w="0" w:type="auto"/>
          </w:tcPr>
          <w:p w:rsidR="00AA0351" w:rsidRDefault="00AA0351" w:rsidP="00FA6576">
            <w:pPr>
              <w:spacing w:line="360" w:lineRule="auto"/>
              <w:jc w:val="both"/>
            </w:pPr>
            <w:r>
              <w:t>16.3</w:t>
            </w:r>
          </w:p>
        </w:tc>
        <w:tc>
          <w:tcPr>
            <w:tcW w:w="0" w:type="auto"/>
          </w:tcPr>
          <w:p w:rsidR="00AA0351" w:rsidRDefault="00AA0351" w:rsidP="00FA6576">
            <w:pPr>
              <w:spacing w:line="360" w:lineRule="auto"/>
              <w:jc w:val="both"/>
            </w:pPr>
            <w:r>
              <w:t>16.3</w:t>
            </w:r>
          </w:p>
        </w:tc>
        <w:tc>
          <w:tcPr>
            <w:tcW w:w="0" w:type="auto"/>
          </w:tcPr>
          <w:p w:rsidR="00AA0351" w:rsidRDefault="00AA0351" w:rsidP="00FA6576">
            <w:pPr>
              <w:spacing w:line="360" w:lineRule="auto"/>
              <w:jc w:val="both"/>
            </w:pPr>
            <w:r>
              <w:t>100</w:t>
            </w:r>
          </w:p>
        </w:tc>
      </w:tr>
      <w:tr w:rsidR="00AA0351" w:rsidTr="005826D5">
        <w:tc>
          <w:tcPr>
            <w:tcW w:w="0" w:type="auto"/>
          </w:tcPr>
          <w:p w:rsidR="00AA0351" w:rsidRDefault="00AA0351" w:rsidP="00FA6576">
            <w:pPr>
              <w:spacing w:line="360" w:lineRule="auto"/>
              <w:jc w:val="both"/>
            </w:pPr>
            <w:r>
              <w:t>Total</w:t>
            </w:r>
          </w:p>
        </w:tc>
        <w:tc>
          <w:tcPr>
            <w:tcW w:w="0" w:type="auto"/>
          </w:tcPr>
          <w:p w:rsidR="00AA0351" w:rsidRDefault="00AA0351" w:rsidP="00FA6576">
            <w:pPr>
              <w:spacing w:line="360" w:lineRule="auto"/>
              <w:jc w:val="both"/>
            </w:pPr>
            <w:r>
              <w:t>80</w:t>
            </w:r>
          </w:p>
        </w:tc>
        <w:tc>
          <w:tcPr>
            <w:tcW w:w="0" w:type="auto"/>
          </w:tcPr>
          <w:p w:rsidR="00AA0351" w:rsidRDefault="00AA0351" w:rsidP="00FA6576">
            <w:pPr>
              <w:spacing w:line="360" w:lineRule="auto"/>
              <w:jc w:val="both"/>
            </w:pPr>
            <w:r>
              <w:t>100.0</w:t>
            </w:r>
          </w:p>
        </w:tc>
        <w:tc>
          <w:tcPr>
            <w:tcW w:w="0" w:type="auto"/>
          </w:tcPr>
          <w:p w:rsidR="00AA0351" w:rsidRDefault="00AA0351" w:rsidP="00FA6576">
            <w:pPr>
              <w:spacing w:line="360" w:lineRule="auto"/>
              <w:jc w:val="both"/>
            </w:pPr>
            <w:r>
              <w:t>100.0</w:t>
            </w:r>
          </w:p>
        </w:tc>
        <w:tc>
          <w:tcPr>
            <w:tcW w:w="0" w:type="auto"/>
          </w:tcPr>
          <w:p w:rsidR="00AA0351" w:rsidRDefault="00AA0351" w:rsidP="00FA6576">
            <w:pPr>
              <w:spacing w:line="360" w:lineRule="auto"/>
              <w:jc w:val="both"/>
            </w:pPr>
          </w:p>
        </w:tc>
      </w:tr>
    </w:tbl>
    <w:p w:rsidR="00AA0351" w:rsidRDefault="00AA0351" w:rsidP="00FA6576">
      <w:pPr>
        <w:spacing w:line="360" w:lineRule="auto"/>
        <w:jc w:val="both"/>
      </w:pPr>
    </w:p>
    <w:p w:rsidR="007E0A5E" w:rsidRPr="007E0A5E" w:rsidRDefault="007E0A5E" w:rsidP="00FA6576">
      <w:pPr>
        <w:spacing w:line="360" w:lineRule="auto"/>
        <w:jc w:val="both"/>
        <w:rPr>
          <w:b/>
        </w:rPr>
      </w:pPr>
      <w:r w:rsidRPr="007E0A5E">
        <w:rPr>
          <w:b/>
        </w:rPr>
        <w:t>Major finding:  A great majority of the employees has only two years of experience working at the Near East Bank.</w:t>
      </w:r>
    </w:p>
    <w:p w:rsidR="007E0A5E" w:rsidRDefault="007E0A5E" w:rsidP="00FA6576">
      <w:pPr>
        <w:spacing w:line="360" w:lineRule="auto"/>
        <w:jc w:val="both"/>
      </w:pPr>
    </w:p>
    <w:p w:rsidR="007E0A5E" w:rsidRPr="007E0A5E" w:rsidRDefault="007E0A5E" w:rsidP="00FA6576">
      <w:pPr>
        <w:spacing w:line="360" w:lineRule="auto"/>
        <w:jc w:val="both"/>
        <w:rPr>
          <w:b/>
        </w:rPr>
      </w:pPr>
      <w:r w:rsidRPr="007E0A5E">
        <w:rPr>
          <w:b/>
        </w:rPr>
        <w:t>5.4.4</w:t>
      </w:r>
      <w:r w:rsidRPr="007E0A5E">
        <w:rPr>
          <w:b/>
        </w:rPr>
        <w:tab/>
        <w:t>Current job position</w:t>
      </w:r>
    </w:p>
    <w:p w:rsidR="007E0A5E" w:rsidRDefault="00EB48CC" w:rsidP="00FA6576">
      <w:pPr>
        <w:spacing w:line="360" w:lineRule="auto"/>
        <w:jc w:val="both"/>
      </w:pPr>
      <w:r>
        <w:t>The job positions were distributed equally amongst the employees except the position of the cashier which was hold by almost a 50% of the employees.</w:t>
      </w:r>
    </w:p>
    <w:p w:rsidR="004C511D" w:rsidRDefault="00AA0351" w:rsidP="00FA6576">
      <w:pPr>
        <w:spacing w:line="360" w:lineRule="auto"/>
        <w:jc w:val="both"/>
      </w:pPr>
      <w:r>
        <w:t>5.4         Current job position</w:t>
      </w:r>
    </w:p>
    <w:tbl>
      <w:tblPr>
        <w:tblStyle w:val="TableGrid"/>
        <w:tblW w:w="0" w:type="auto"/>
        <w:tblLook w:val="04A0"/>
      </w:tblPr>
      <w:tblGrid>
        <w:gridCol w:w="2448"/>
        <w:gridCol w:w="1153"/>
        <w:gridCol w:w="958"/>
        <w:gridCol w:w="1456"/>
        <w:gridCol w:w="2023"/>
      </w:tblGrid>
      <w:tr w:rsidR="005826D5" w:rsidTr="005826D5">
        <w:tc>
          <w:tcPr>
            <w:tcW w:w="0" w:type="auto"/>
          </w:tcPr>
          <w:p w:rsidR="005826D5" w:rsidRDefault="005826D5" w:rsidP="00FA6576">
            <w:pPr>
              <w:spacing w:line="360" w:lineRule="auto"/>
              <w:jc w:val="both"/>
            </w:pPr>
          </w:p>
        </w:tc>
        <w:tc>
          <w:tcPr>
            <w:tcW w:w="0" w:type="auto"/>
          </w:tcPr>
          <w:p w:rsidR="005826D5" w:rsidRDefault="005826D5" w:rsidP="00FA6576">
            <w:pPr>
              <w:spacing w:line="360" w:lineRule="auto"/>
              <w:jc w:val="both"/>
            </w:pPr>
            <w:r>
              <w:t>Frequency</w:t>
            </w:r>
          </w:p>
        </w:tc>
        <w:tc>
          <w:tcPr>
            <w:tcW w:w="0" w:type="auto"/>
          </w:tcPr>
          <w:p w:rsidR="005826D5" w:rsidRDefault="001B452E" w:rsidP="00FA6576">
            <w:pPr>
              <w:spacing w:line="360" w:lineRule="auto"/>
              <w:jc w:val="both"/>
            </w:pPr>
            <w:r>
              <w:t>Per cent</w:t>
            </w:r>
          </w:p>
        </w:tc>
        <w:tc>
          <w:tcPr>
            <w:tcW w:w="0" w:type="auto"/>
          </w:tcPr>
          <w:p w:rsidR="005826D5" w:rsidRDefault="005826D5" w:rsidP="00FA6576">
            <w:pPr>
              <w:spacing w:line="360" w:lineRule="auto"/>
              <w:jc w:val="both"/>
            </w:pPr>
            <w:r>
              <w:t xml:space="preserve">Valid </w:t>
            </w:r>
            <w:r w:rsidR="001B452E">
              <w:t>per cent</w:t>
            </w:r>
          </w:p>
        </w:tc>
        <w:tc>
          <w:tcPr>
            <w:tcW w:w="0" w:type="auto"/>
          </w:tcPr>
          <w:p w:rsidR="005826D5" w:rsidRDefault="005826D5" w:rsidP="00FA6576">
            <w:pPr>
              <w:spacing w:line="360" w:lineRule="auto"/>
              <w:jc w:val="both"/>
            </w:pPr>
            <w:r>
              <w:t xml:space="preserve">Cumulative </w:t>
            </w:r>
            <w:r w:rsidR="001B452E">
              <w:t>per cent</w:t>
            </w:r>
          </w:p>
        </w:tc>
      </w:tr>
      <w:tr w:rsidR="005826D5" w:rsidTr="005826D5">
        <w:tc>
          <w:tcPr>
            <w:tcW w:w="0" w:type="auto"/>
          </w:tcPr>
          <w:p w:rsidR="005826D5" w:rsidRDefault="005826D5" w:rsidP="00FA6576">
            <w:pPr>
              <w:spacing w:line="360" w:lineRule="auto"/>
              <w:jc w:val="both"/>
            </w:pPr>
            <w:r>
              <w:t>Branch manager</w:t>
            </w:r>
          </w:p>
        </w:tc>
        <w:tc>
          <w:tcPr>
            <w:tcW w:w="0" w:type="auto"/>
          </w:tcPr>
          <w:p w:rsidR="005826D5" w:rsidRDefault="005826D5" w:rsidP="00FA6576">
            <w:pPr>
              <w:spacing w:line="360" w:lineRule="auto"/>
              <w:jc w:val="both"/>
            </w:pPr>
            <w:r>
              <w:t>10</w:t>
            </w:r>
          </w:p>
        </w:tc>
        <w:tc>
          <w:tcPr>
            <w:tcW w:w="0" w:type="auto"/>
          </w:tcPr>
          <w:p w:rsidR="005826D5" w:rsidRDefault="005826D5" w:rsidP="00FA6576">
            <w:pPr>
              <w:spacing w:line="360" w:lineRule="auto"/>
              <w:jc w:val="both"/>
            </w:pPr>
            <w:r>
              <w:t>12.5</w:t>
            </w:r>
          </w:p>
        </w:tc>
        <w:tc>
          <w:tcPr>
            <w:tcW w:w="0" w:type="auto"/>
          </w:tcPr>
          <w:p w:rsidR="005826D5" w:rsidRDefault="005826D5" w:rsidP="00FA6576">
            <w:pPr>
              <w:spacing w:line="360" w:lineRule="auto"/>
              <w:jc w:val="both"/>
            </w:pPr>
            <w:r>
              <w:t>12.5</w:t>
            </w:r>
          </w:p>
        </w:tc>
        <w:tc>
          <w:tcPr>
            <w:tcW w:w="0" w:type="auto"/>
          </w:tcPr>
          <w:p w:rsidR="005826D5" w:rsidRDefault="005826D5" w:rsidP="00FA6576">
            <w:pPr>
              <w:spacing w:line="360" w:lineRule="auto"/>
              <w:jc w:val="both"/>
            </w:pPr>
            <w:r>
              <w:t>12.5</w:t>
            </w:r>
          </w:p>
        </w:tc>
      </w:tr>
      <w:tr w:rsidR="005826D5" w:rsidTr="005826D5">
        <w:tc>
          <w:tcPr>
            <w:tcW w:w="0" w:type="auto"/>
          </w:tcPr>
          <w:p w:rsidR="005826D5" w:rsidRDefault="005826D5" w:rsidP="00FA6576">
            <w:pPr>
              <w:spacing w:line="360" w:lineRule="auto"/>
              <w:jc w:val="both"/>
            </w:pPr>
            <w:r>
              <w:t>Customer representative</w:t>
            </w:r>
          </w:p>
        </w:tc>
        <w:tc>
          <w:tcPr>
            <w:tcW w:w="0" w:type="auto"/>
          </w:tcPr>
          <w:p w:rsidR="005826D5" w:rsidRDefault="005826D5" w:rsidP="00FA6576">
            <w:pPr>
              <w:spacing w:line="360" w:lineRule="auto"/>
              <w:jc w:val="both"/>
            </w:pPr>
            <w:r>
              <w:t>16</w:t>
            </w:r>
          </w:p>
        </w:tc>
        <w:tc>
          <w:tcPr>
            <w:tcW w:w="0" w:type="auto"/>
          </w:tcPr>
          <w:p w:rsidR="005826D5" w:rsidRDefault="005826D5" w:rsidP="00FA6576">
            <w:pPr>
              <w:spacing w:line="360" w:lineRule="auto"/>
              <w:jc w:val="both"/>
            </w:pPr>
            <w:r>
              <w:t>20.0</w:t>
            </w:r>
          </w:p>
        </w:tc>
        <w:tc>
          <w:tcPr>
            <w:tcW w:w="0" w:type="auto"/>
          </w:tcPr>
          <w:p w:rsidR="005826D5" w:rsidRDefault="005826D5" w:rsidP="00FA6576">
            <w:pPr>
              <w:spacing w:line="360" w:lineRule="auto"/>
              <w:jc w:val="both"/>
            </w:pPr>
            <w:r>
              <w:t>20.0</w:t>
            </w:r>
          </w:p>
        </w:tc>
        <w:tc>
          <w:tcPr>
            <w:tcW w:w="0" w:type="auto"/>
          </w:tcPr>
          <w:p w:rsidR="005826D5" w:rsidRDefault="005826D5" w:rsidP="00FA6576">
            <w:pPr>
              <w:spacing w:line="360" w:lineRule="auto"/>
              <w:jc w:val="both"/>
            </w:pPr>
            <w:r>
              <w:t>32.5</w:t>
            </w:r>
          </w:p>
        </w:tc>
      </w:tr>
      <w:tr w:rsidR="005826D5" w:rsidTr="005826D5">
        <w:tc>
          <w:tcPr>
            <w:tcW w:w="0" w:type="auto"/>
          </w:tcPr>
          <w:p w:rsidR="005826D5" w:rsidRDefault="005826D5" w:rsidP="00FA6576">
            <w:pPr>
              <w:spacing w:line="360" w:lineRule="auto"/>
              <w:jc w:val="both"/>
            </w:pPr>
            <w:r>
              <w:t>Operation officer</w:t>
            </w:r>
          </w:p>
        </w:tc>
        <w:tc>
          <w:tcPr>
            <w:tcW w:w="0" w:type="auto"/>
          </w:tcPr>
          <w:p w:rsidR="005826D5" w:rsidRDefault="005826D5" w:rsidP="00FA6576">
            <w:pPr>
              <w:spacing w:line="360" w:lineRule="auto"/>
              <w:jc w:val="both"/>
            </w:pPr>
            <w:r>
              <w:t>12</w:t>
            </w:r>
          </w:p>
        </w:tc>
        <w:tc>
          <w:tcPr>
            <w:tcW w:w="0" w:type="auto"/>
          </w:tcPr>
          <w:p w:rsidR="005826D5" w:rsidRDefault="005826D5" w:rsidP="00FA6576">
            <w:pPr>
              <w:spacing w:line="360" w:lineRule="auto"/>
              <w:jc w:val="both"/>
            </w:pPr>
            <w:r>
              <w:t>15.0</w:t>
            </w:r>
          </w:p>
        </w:tc>
        <w:tc>
          <w:tcPr>
            <w:tcW w:w="0" w:type="auto"/>
          </w:tcPr>
          <w:p w:rsidR="005826D5" w:rsidRDefault="005826D5" w:rsidP="00FA6576">
            <w:pPr>
              <w:spacing w:line="360" w:lineRule="auto"/>
              <w:jc w:val="both"/>
            </w:pPr>
            <w:r>
              <w:t>15.0</w:t>
            </w:r>
          </w:p>
        </w:tc>
        <w:tc>
          <w:tcPr>
            <w:tcW w:w="0" w:type="auto"/>
          </w:tcPr>
          <w:p w:rsidR="005826D5" w:rsidRDefault="005826D5" w:rsidP="00FA6576">
            <w:pPr>
              <w:spacing w:line="360" w:lineRule="auto"/>
              <w:jc w:val="both"/>
            </w:pPr>
            <w:r>
              <w:t>47.5</w:t>
            </w:r>
          </w:p>
        </w:tc>
      </w:tr>
      <w:tr w:rsidR="005826D5" w:rsidTr="005826D5">
        <w:tc>
          <w:tcPr>
            <w:tcW w:w="0" w:type="auto"/>
          </w:tcPr>
          <w:p w:rsidR="005826D5" w:rsidRDefault="005826D5" w:rsidP="00FA6576">
            <w:pPr>
              <w:spacing w:line="360" w:lineRule="auto"/>
              <w:jc w:val="both"/>
            </w:pPr>
            <w:r>
              <w:t>Cashier</w:t>
            </w:r>
          </w:p>
        </w:tc>
        <w:tc>
          <w:tcPr>
            <w:tcW w:w="0" w:type="auto"/>
          </w:tcPr>
          <w:p w:rsidR="005826D5" w:rsidRDefault="005826D5" w:rsidP="00FA6576">
            <w:pPr>
              <w:spacing w:line="360" w:lineRule="auto"/>
              <w:jc w:val="both"/>
            </w:pPr>
            <w:r>
              <w:t>42</w:t>
            </w:r>
          </w:p>
        </w:tc>
        <w:tc>
          <w:tcPr>
            <w:tcW w:w="0" w:type="auto"/>
          </w:tcPr>
          <w:p w:rsidR="005826D5" w:rsidRDefault="005826D5" w:rsidP="00FA6576">
            <w:pPr>
              <w:spacing w:line="360" w:lineRule="auto"/>
              <w:jc w:val="both"/>
            </w:pPr>
            <w:r>
              <w:t>52.5</w:t>
            </w:r>
          </w:p>
        </w:tc>
        <w:tc>
          <w:tcPr>
            <w:tcW w:w="0" w:type="auto"/>
          </w:tcPr>
          <w:p w:rsidR="005826D5" w:rsidRDefault="005826D5" w:rsidP="00FA6576">
            <w:pPr>
              <w:spacing w:line="360" w:lineRule="auto"/>
              <w:jc w:val="both"/>
            </w:pPr>
            <w:r>
              <w:t>52.5</w:t>
            </w:r>
          </w:p>
        </w:tc>
        <w:tc>
          <w:tcPr>
            <w:tcW w:w="0" w:type="auto"/>
          </w:tcPr>
          <w:p w:rsidR="005826D5" w:rsidRDefault="005826D5" w:rsidP="00FA6576">
            <w:pPr>
              <w:spacing w:line="360" w:lineRule="auto"/>
              <w:jc w:val="both"/>
            </w:pPr>
            <w:r>
              <w:t>100.0</w:t>
            </w:r>
          </w:p>
        </w:tc>
      </w:tr>
      <w:tr w:rsidR="005826D5" w:rsidTr="005826D5">
        <w:tc>
          <w:tcPr>
            <w:tcW w:w="0" w:type="auto"/>
          </w:tcPr>
          <w:p w:rsidR="005826D5" w:rsidRDefault="005826D5" w:rsidP="00FA6576">
            <w:pPr>
              <w:spacing w:line="360" w:lineRule="auto"/>
              <w:jc w:val="both"/>
            </w:pPr>
            <w:r>
              <w:t>Total</w:t>
            </w:r>
          </w:p>
        </w:tc>
        <w:tc>
          <w:tcPr>
            <w:tcW w:w="0" w:type="auto"/>
          </w:tcPr>
          <w:p w:rsidR="005826D5" w:rsidRDefault="005826D5" w:rsidP="00FA6576">
            <w:pPr>
              <w:spacing w:line="360" w:lineRule="auto"/>
              <w:jc w:val="both"/>
            </w:pPr>
            <w:r>
              <w:t>80</w:t>
            </w:r>
          </w:p>
        </w:tc>
        <w:tc>
          <w:tcPr>
            <w:tcW w:w="0" w:type="auto"/>
          </w:tcPr>
          <w:p w:rsidR="005826D5" w:rsidRDefault="005826D5" w:rsidP="00FA6576">
            <w:pPr>
              <w:spacing w:line="360" w:lineRule="auto"/>
              <w:jc w:val="both"/>
            </w:pPr>
            <w:r>
              <w:t>100.0</w:t>
            </w:r>
          </w:p>
        </w:tc>
        <w:tc>
          <w:tcPr>
            <w:tcW w:w="0" w:type="auto"/>
          </w:tcPr>
          <w:p w:rsidR="005826D5" w:rsidRDefault="005826D5" w:rsidP="00FA6576">
            <w:pPr>
              <w:spacing w:line="360" w:lineRule="auto"/>
              <w:jc w:val="both"/>
            </w:pPr>
            <w:r>
              <w:t>100.0</w:t>
            </w:r>
          </w:p>
        </w:tc>
        <w:tc>
          <w:tcPr>
            <w:tcW w:w="0" w:type="auto"/>
          </w:tcPr>
          <w:p w:rsidR="005826D5" w:rsidRDefault="005826D5" w:rsidP="00FA6576">
            <w:pPr>
              <w:spacing w:line="360" w:lineRule="auto"/>
              <w:jc w:val="both"/>
            </w:pPr>
          </w:p>
        </w:tc>
      </w:tr>
    </w:tbl>
    <w:p w:rsidR="00AA0351" w:rsidRDefault="00AA0351" w:rsidP="00FA6576">
      <w:pPr>
        <w:spacing w:line="360" w:lineRule="auto"/>
        <w:jc w:val="both"/>
      </w:pPr>
    </w:p>
    <w:p w:rsidR="00AA0351" w:rsidRDefault="00EB48CC" w:rsidP="00FA6576">
      <w:pPr>
        <w:spacing w:line="360" w:lineRule="auto"/>
        <w:jc w:val="both"/>
        <w:rPr>
          <w:b/>
        </w:rPr>
      </w:pPr>
      <w:r w:rsidRPr="00EB48CC">
        <w:rPr>
          <w:b/>
        </w:rPr>
        <w:t>Major finding:</w:t>
      </w:r>
      <w:r w:rsidRPr="00EB48CC">
        <w:rPr>
          <w:b/>
        </w:rPr>
        <w:tab/>
        <w:t xml:space="preserve">Half the employees of the Near East Bank hold a cashier’s position. </w:t>
      </w:r>
    </w:p>
    <w:p w:rsidR="00EB48CC" w:rsidRDefault="00EB48CC" w:rsidP="00FA6576">
      <w:pPr>
        <w:spacing w:line="360" w:lineRule="auto"/>
        <w:jc w:val="both"/>
      </w:pPr>
    </w:p>
    <w:p w:rsidR="006F068C" w:rsidRDefault="006F068C" w:rsidP="00FA6576">
      <w:pPr>
        <w:spacing w:line="360" w:lineRule="auto"/>
        <w:jc w:val="both"/>
      </w:pPr>
    </w:p>
    <w:p w:rsidR="006F068C" w:rsidRDefault="006F068C" w:rsidP="00FA6576">
      <w:pPr>
        <w:spacing w:line="360" w:lineRule="auto"/>
        <w:jc w:val="both"/>
      </w:pPr>
    </w:p>
    <w:p w:rsidR="006F068C" w:rsidRDefault="006F068C" w:rsidP="00FA6576">
      <w:pPr>
        <w:spacing w:line="360" w:lineRule="auto"/>
        <w:jc w:val="both"/>
      </w:pPr>
    </w:p>
    <w:p w:rsidR="00EB48CC" w:rsidRPr="00EB48CC" w:rsidRDefault="00EB48CC" w:rsidP="00FA6576">
      <w:pPr>
        <w:spacing w:line="360" w:lineRule="auto"/>
        <w:jc w:val="both"/>
        <w:rPr>
          <w:b/>
        </w:rPr>
      </w:pPr>
      <w:r w:rsidRPr="00EB48CC">
        <w:rPr>
          <w:b/>
        </w:rPr>
        <w:lastRenderedPageBreak/>
        <w:t>5.5</w:t>
      </w:r>
      <w:r w:rsidRPr="00EB48CC">
        <w:rPr>
          <w:b/>
        </w:rPr>
        <w:tab/>
        <w:t xml:space="preserve">Market orientation at the Near East Bank </w:t>
      </w:r>
    </w:p>
    <w:p w:rsidR="00EB48CC" w:rsidRDefault="00EB48CC" w:rsidP="00FA6576">
      <w:pPr>
        <w:spacing w:line="360" w:lineRule="auto"/>
        <w:jc w:val="both"/>
      </w:pPr>
      <w:r>
        <w:t>As explained in the previous chapter the MARKOR scale was adapted with 10 attitude statements and these statements were presented to 100 employees out of which 80 responses were regarded as fit to purpose.</w:t>
      </w:r>
    </w:p>
    <w:p w:rsidR="00EB48CC" w:rsidRPr="006D6D40" w:rsidRDefault="00394C25" w:rsidP="00FA6576">
      <w:pPr>
        <w:spacing w:line="360" w:lineRule="auto"/>
        <w:jc w:val="both"/>
        <w:rPr>
          <w:b/>
        </w:rPr>
      </w:pPr>
      <w:r w:rsidRPr="006D6D40">
        <w:rPr>
          <w:b/>
        </w:rPr>
        <w:t xml:space="preserve">Table </w:t>
      </w:r>
      <w:r w:rsidR="00EB48CC" w:rsidRPr="006D6D40">
        <w:rPr>
          <w:b/>
        </w:rPr>
        <w:t>5.5</w:t>
      </w:r>
      <w:r w:rsidR="00EB48CC" w:rsidRPr="006D6D40">
        <w:rPr>
          <w:b/>
        </w:rPr>
        <w:tab/>
      </w:r>
      <w:r w:rsidRPr="006D6D40">
        <w:rPr>
          <w:b/>
        </w:rPr>
        <w:t>Market orientation at Near East University</w:t>
      </w:r>
    </w:p>
    <w:tbl>
      <w:tblPr>
        <w:tblStyle w:val="TableGrid"/>
        <w:tblW w:w="0" w:type="auto"/>
        <w:tblLook w:val="04A0"/>
      </w:tblPr>
      <w:tblGrid>
        <w:gridCol w:w="1226"/>
        <w:gridCol w:w="5080"/>
        <w:gridCol w:w="475"/>
        <w:gridCol w:w="735"/>
        <w:gridCol w:w="1154"/>
        <w:gridCol w:w="952"/>
      </w:tblGrid>
      <w:tr w:rsidR="00394C25" w:rsidTr="00EF53D1">
        <w:tc>
          <w:tcPr>
            <w:tcW w:w="0" w:type="auto"/>
          </w:tcPr>
          <w:p w:rsidR="00A26071" w:rsidRDefault="003C6B7E" w:rsidP="00FA6576">
            <w:pPr>
              <w:spacing w:line="360" w:lineRule="auto"/>
              <w:jc w:val="both"/>
            </w:pPr>
            <w:r>
              <w:t xml:space="preserve">Statement </w:t>
            </w:r>
            <w:r w:rsidR="00A26071">
              <w:t>no</w:t>
            </w:r>
          </w:p>
        </w:tc>
        <w:tc>
          <w:tcPr>
            <w:tcW w:w="0" w:type="auto"/>
          </w:tcPr>
          <w:p w:rsidR="00A26071" w:rsidRDefault="00A26071" w:rsidP="00FA6576">
            <w:pPr>
              <w:spacing w:line="360" w:lineRule="auto"/>
              <w:jc w:val="both"/>
            </w:pPr>
          </w:p>
        </w:tc>
        <w:tc>
          <w:tcPr>
            <w:tcW w:w="0" w:type="auto"/>
          </w:tcPr>
          <w:p w:rsidR="00A26071" w:rsidRDefault="00A26071" w:rsidP="00FA6576">
            <w:pPr>
              <w:spacing w:line="360" w:lineRule="auto"/>
              <w:jc w:val="both"/>
            </w:pPr>
            <w:r>
              <w:t>No</w:t>
            </w:r>
          </w:p>
        </w:tc>
        <w:tc>
          <w:tcPr>
            <w:tcW w:w="0" w:type="auto"/>
          </w:tcPr>
          <w:p w:rsidR="00A26071" w:rsidRDefault="00A26071" w:rsidP="00FA6576">
            <w:pPr>
              <w:spacing w:line="360" w:lineRule="auto"/>
              <w:jc w:val="both"/>
            </w:pPr>
            <w:r>
              <w:t>Mean</w:t>
            </w:r>
          </w:p>
        </w:tc>
        <w:tc>
          <w:tcPr>
            <w:tcW w:w="0" w:type="auto"/>
          </w:tcPr>
          <w:p w:rsidR="00A26071" w:rsidRDefault="00A26071" w:rsidP="00FA6576">
            <w:pPr>
              <w:spacing w:line="360" w:lineRule="auto"/>
              <w:jc w:val="both"/>
            </w:pPr>
            <w:r>
              <w:t>Std. deviation</w:t>
            </w:r>
          </w:p>
        </w:tc>
        <w:tc>
          <w:tcPr>
            <w:tcW w:w="0" w:type="auto"/>
          </w:tcPr>
          <w:p w:rsidR="00A26071" w:rsidRDefault="00A26071" w:rsidP="00FA6576">
            <w:pPr>
              <w:spacing w:line="360" w:lineRule="auto"/>
              <w:jc w:val="both"/>
            </w:pPr>
            <w:r>
              <w:t>Std. Error mean</w:t>
            </w:r>
          </w:p>
        </w:tc>
      </w:tr>
      <w:tr w:rsidR="00394C25" w:rsidTr="00EF53D1">
        <w:tc>
          <w:tcPr>
            <w:tcW w:w="0" w:type="auto"/>
          </w:tcPr>
          <w:p w:rsidR="00A26071" w:rsidRDefault="00A26071" w:rsidP="00FA6576">
            <w:pPr>
              <w:spacing w:line="360" w:lineRule="auto"/>
              <w:jc w:val="both"/>
            </w:pPr>
            <w:r>
              <w:t>1</w:t>
            </w:r>
          </w:p>
        </w:tc>
        <w:tc>
          <w:tcPr>
            <w:tcW w:w="0" w:type="auto"/>
          </w:tcPr>
          <w:p w:rsidR="00A26071" w:rsidRDefault="00A26071" w:rsidP="00FA6576">
            <w:pPr>
              <w:spacing w:line="360" w:lineRule="auto"/>
              <w:jc w:val="both"/>
            </w:pPr>
            <w:r>
              <w:t xml:space="preserve">In this organisation, we meet with customers </w:t>
            </w:r>
            <w:r w:rsidR="009C00DB">
              <w:t>at least</w:t>
            </w:r>
            <w:r>
              <w:t xml:space="preserve"> once in a year </w:t>
            </w:r>
            <w:r w:rsidR="009C00DB">
              <w:t xml:space="preserve">to find out which product </w:t>
            </w:r>
            <w:r w:rsidR="00394C25">
              <w:t>o</w:t>
            </w:r>
            <w:r w:rsidR="009C00DB">
              <w:t>r service they will need in future</w:t>
            </w:r>
          </w:p>
        </w:tc>
        <w:tc>
          <w:tcPr>
            <w:tcW w:w="0" w:type="auto"/>
          </w:tcPr>
          <w:p w:rsidR="00A26071" w:rsidRDefault="00EF53D1" w:rsidP="00FA6576">
            <w:pPr>
              <w:spacing w:line="360" w:lineRule="auto"/>
              <w:jc w:val="both"/>
            </w:pPr>
            <w:r>
              <w:t>80</w:t>
            </w:r>
          </w:p>
        </w:tc>
        <w:tc>
          <w:tcPr>
            <w:tcW w:w="0" w:type="auto"/>
          </w:tcPr>
          <w:p w:rsidR="00A26071" w:rsidRDefault="00EF53D1" w:rsidP="00FA6576">
            <w:pPr>
              <w:spacing w:line="360" w:lineRule="auto"/>
              <w:jc w:val="both"/>
            </w:pPr>
            <w:r>
              <w:t>1.61</w:t>
            </w:r>
          </w:p>
        </w:tc>
        <w:tc>
          <w:tcPr>
            <w:tcW w:w="0" w:type="auto"/>
          </w:tcPr>
          <w:p w:rsidR="00A26071" w:rsidRDefault="00EF53D1" w:rsidP="00FA6576">
            <w:pPr>
              <w:spacing w:line="360" w:lineRule="auto"/>
              <w:jc w:val="both"/>
            </w:pPr>
            <w:r>
              <w:t>.665</w:t>
            </w:r>
          </w:p>
        </w:tc>
        <w:tc>
          <w:tcPr>
            <w:tcW w:w="0" w:type="auto"/>
          </w:tcPr>
          <w:p w:rsidR="00A26071" w:rsidRDefault="00EF53D1" w:rsidP="00FA6576">
            <w:pPr>
              <w:spacing w:line="360" w:lineRule="auto"/>
              <w:jc w:val="both"/>
            </w:pPr>
            <w:r>
              <w:t>.074</w:t>
            </w:r>
          </w:p>
        </w:tc>
      </w:tr>
      <w:tr w:rsidR="00394C25" w:rsidTr="00EF53D1">
        <w:tc>
          <w:tcPr>
            <w:tcW w:w="0" w:type="auto"/>
          </w:tcPr>
          <w:p w:rsidR="00A26071" w:rsidRDefault="009C00DB" w:rsidP="00FA6576">
            <w:pPr>
              <w:spacing w:line="360" w:lineRule="auto"/>
              <w:jc w:val="both"/>
            </w:pPr>
            <w:r>
              <w:t>2</w:t>
            </w:r>
          </w:p>
        </w:tc>
        <w:tc>
          <w:tcPr>
            <w:tcW w:w="0" w:type="auto"/>
          </w:tcPr>
          <w:p w:rsidR="00A26071" w:rsidRDefault="009C00DB" w:rsidP="00FA6576">
            <w:pPr>
              <w:spacing w:line="360" w:lineRule="auto"/>
              <w:jc w:val="both"/>
            </w:pPr>
            <w:r>
              <w:t>In this organisation, we do a lot of in-house marketing research</w:t>
            </w:r>
          </w:p>
        </w:tc>
        <w:tc>
          <w:tcPr>
            <w:tcW w:w="0" w:type="auto"/>
          </w:tcPr>
          <w:p w:rsidR="00A26071" w:rsidRDefault="00EF53D1" w:rsidP="00FA6576">
            <w:pPr>
              <w:spacing w:line="360" w:lineRule="auto"/>
              <w:jc w:val="both"/>
            </w:pPr>
            <w:r>
              <w:t>80</w:t>
            </w:r>
          </w:p>
        </w:tc>
        <w:tc>
          <w:tcPr>
            <w:tcW w:w="0" w:type="auto"/>
          </w:tcPr>
          <w:p w:rsidR="00A26071" w:rsidRDefault="00EF53D1" w:rsidP="00FA6576">
            <w:pPr>
              <w:spacing w:line="360" w:lineRule="auto"/>
              <w:jc w:val="both"/>
            </w:pPr>
            <w:r>
              <w:t>1.61</w:t>
            </w:r>
          </w:p>
        </w:tc>
        <w:tc>
          <w:tcPr>
            <w:tcW w:w="0" w:type="auto"/>
          </w:tcPr>
          <w:p w:rsidR="00A26071" w:rsidRDefault="00EF53D1" w:rsidP="00FA6576">
            <w:pPr>
              <w:spacing w:line="360" w:lineRule="auto"/>
              <w:jc w:val="both"/>
            </w:pPr>
            <w:r>
              <w:t>.703</w:t>
            </w:r>
          </w:p>
        </w:tc>
        <w:tc>
          <w:tcPr>
            <w:tcW w:w="0" w:type="auto"/>
          </w:tcPr>
          <w:p w:rsidR="00A26071" w:rsidRDefault="00EF53D1" w:rsidP="00FA6576">
            <w:pPr>
              <w:spacing w:line="360" w:lineRule="auto"/>
              <w:jc w:val="both"/>
            </w:pPr>
            <w:r>
              <w:t>.079</w:t>
            </w:r>
          </w:p>
        </w:tc>
      </w:tr>
      <w:tr w:rsidR="00394C25" w:rsidTr="00EF53D1">
        <w:tc>
          <w:tcPr>
            <w:tcW w:w="0" w:type="auto"/>
          </w:tcPr>
          <w:p w:rsidR="00A26071" w:rsidRDefault="009C00DB" w:rsidP="00FA6576">
            <w:pPr>
              <w:spacing w:line="360" w:lineRule="auto"/>
              <w:jc w:val="both"/>
            </w:pPr>
            <w:r>
              <w:t>3</w:t>
            </w:r>
          </w:p>
        </w:tc>
        <w:tc>
          <w:tcPr>
            <w:tcW w:w="0" w:type="auto"/>
          </w:tcPr>
          <w:p w:rsidR="00A26071" w:rsidRDefault="009C00DB" w:rsidP="00FA6576">
            <w:pPr>
              <w:spacing w:line="360" w:lineRule="auto"/>
              <w:jc w:val="both"/>
            </w:pPr>
            <w:r>
              <w:t>We are slow to detect changes in our customers preference</w:t>
            </w:r>
            <w:r w:rsidR="00394C25">
              <w:t>s</w:t>
            </w:r>
          </w:p>
        </w:tc>
        <w:tc>
          <w:tcPr>
            <w:tcW w:w="0" w:type="auto"/>
          </w:tcPr>
          <w:p w:rsidR="00A26071" w:rsidRDefault="00EF53D1" w:rsidP="00FA6576">
            <w:pPr>
              <w:spacing w:line="360" w:lineRule="auto"/>
              <w:jc w:val="both"/>
            </w:pPr>
            <w:r>
              <w:t>80</w:t>
            </w:r>
          </w:p>
        </w:tc>
        <w:tc>
          <w:tcPr>
            <w:tcW w:w="0" w:type="auto"/>
          </w:tcPr>
          <w:p w:rsidR="00A26071" w:rsidRDefault="00EF53D1" w:rsidP="00FA6576">
            <w:pPr>
              <w:spacing w:line="360" w:lineRule="auto"/>
              <w:jc w:val="both"/>
            </w:pPr>
            <w:r>
              <w:t>4.33</w:t>
            </w:r>
          </w:p>
        </w:tc>
        <w:tc>
          <w:tcPr>
            <w:tcW w:w="0" w:type="auto"/>
          </w:tcPr>
          <w:p w:rsidR="00A26071" w:rsidRDefault="00EF53D1" w:rsidP="00FA6576">
            <w:pPr>
              <w:spacing w:line="360" w:lineRule="auto"/>
              <w:jc w:val="both"/>
            </w:pPr>
            <w:r>
              <w:t>1.003</w:t>
            </w:r>
          </w:p>
        </w:tc>
        <w:tc>
          <w:tcPr>
            <w:tcW w:w="0" w:type="auto"/>
          </w:tcPr>
          <w:p w:rsidR="00A26071" w:rsidRDefault="00EF53D1" w:rsidP="00FA6576">
            <w:pPr>
              <w:spacing w:line="360" w:lineRule="auto"/>
              <w:jc w:val="both"/>
            </w:pPr>
            <w:r>
              <w:t>.112</w:t>
            </w:r>
          </w:p>
        </w:tc>
      </w:tr>
      <w:tr w:rsidR="003C6B7E" w:rsidTr="00EF53D1">
        <w:tc>
          <w:tcPr>
            <w:tcW w:w="0" w:type="auto"/>
          </w:tcPr>
          <w:p w:rsidR="009C00DB" w:rsidRDefault="009C00DB" w:rsidP="00FA6576">
            <w:pPr>
              <w:spacing w:line="360" w:lineRule="auto"/>
              <w:jc w:val="both"/>
            </w:pPr>
            <w:r>
              <w:t>4</w:t>
            </w:r>
          </w:p>
        </w:tc>
        <w:tc>
          <w:tcPr>
            <w:tcW w:w="0" w:type="auto"/>
          </w:tcPr>
          <w:p w:rsidR="009C00DB" w:rsidRDefault="009C00DB" w:rsidP="00FA6576">
            <w:pPr>
              <w:spacing w:line="360" w:lineRule="auto"/>
              <w:jc w:val="both"/>
            </w:pPr>
            <w:r>
              <w:t>We survey end users at least once a year to assess the quality of our product and services</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1.69</w:t>
            </w:r>
          </w:p>
        </w:tc>
        <w:tc>
          <w:tcPr>
            <w:tcW w:w="0" w:type="auto"/>
          </w:tcPr>
          <w:p w:rsidR="009C00DB" w:rsidRDefault="00EF53D1" w:rsidP="00FA6576">
            <w:pPr>
              <w:spacing w:line="360" w:lineRule="auto"/>
              <w:jc w:val="both"/>
            </w:pPr>
            <w:r>
              <w:t>.628</w:t>
            </w:r>
          </w:p>
        </w:tc>
        <w:tc>
          <w:tcPr>
            <w:tcW w:w="0" w:type="auto"/>
          </w:tcPr>
          <w:p w:rsidR="009C00DB" w:rsidRDefault="00EF53D1" w:rsidP="00FA6576">
            <w:pPr>
              <w:spacing w:line="360" w:lineRule="auto"/>
              <w:jc w:val="both"/>
            </w:pPr>
            <w:r>
              <w:t>.070</w:t>
            </w:r>
          </w:p>
        </w:tc>
      </w:tr>
      <w:tr w:rsidR="003C6B7E" w:rsidTr="00EF53D1">
        <w:tc>
          <w:tcPr>
            <w:tcW w:w="0" w:type="auto"/>
          </w:tcPr>
          <w:p w:rsidR="009C00DB" w:rsidRDefault="009C00DB" w:rsidP="00FA6576">
            <w:pPr>
              <w:spacing w:line="360" w:lineRule="auto"/>
              <w:jc w:val="both"/>
            </w:pPr>
            <w:r>
              <w:t>5</w:t>
            </w:r>
          </w:p>
        </w:tc>
        <w:tc>
          <w:tcPr>
            <w:tcW w:w="0" w:type="auto"/>
          </w:tcPr>
          <w:p w:rsidR="009C00DB" w:rsidRDefault="009C00DB" w:rsidP="00FA6576">
            <w:pPr>
              <w:spacing w:line="360" w:lineRule="auto"/>
              <w:jc w:val="both"/>
            </w:pPr>
            <w:r>
              <w:t xml:space="preserve">We </w:t>
            </w:r>
            <w:r w:rsidR="00EF53D1">
              <w:t>periodicallyreviewlikely</w:t>
            </w:r>
            <w:r>
              <w:t xml:space="preserve"> effect of changes </w:t>
            </w:r>
            <w:r w:rsidR="00EF53D1">
              <w:t>in</w:t>
            </w:r>
            <w:r>
              <w:t xml:space="preserve"> our </w:t>
            </w:r>
            <w:r w:rsidR="00EF53D1">
              <w:t>businessenvironment</w:t>
            </w:r>
            <w:r>
              <w:t xml:space="preserve"> (</w:t>
            </w:r>
            <w:r w:rsidR="00EF53D1">
              <w:t>e.g.regulations</w:t>
            </w:r>
            <w:r>
              <w:t>) on customers</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1.49</w:t>
            </w:r>
          </w:p>
        </w:tc>
        <w:tc>
          <w:tcPr>
            <w:tcW w:w="0" w:type="auto"/>
          </w:tcPr>
          <w:p w:rsidR="009C00DB" w:rsidRDefault="00EF53D1" w:rsidP="00FA6576">
            <w:pPr>
              <w:spacing w:line="360" w:lineRule="auto"/>
              <w:jc w:val="both"/>
            </w:pPr>
            <w:r>
              <w:t>.503</w:t>
            </w:r>
          </w:p>
        </w:tc>
        <w:tc>
          <w:tcPr>
            <w:tcW w:w="0" w:type="auto"/>
          </w:tcPr>
          <w:p w:rsidR="009C00DB" w:rsidRDefault="00EF53D1" w:rsidP="00FA6576">
            <w:pPr>
              <w:spacing w:line="360" w:lineRule="auto"/>
              <w:jc w:val="both"/>
            </w:pPr>
            <w:r>
              <w:t>.056</w:t>
            </w:r>
          </w:p>
        </w:tc>
      </w:tr>
      <w:tr w:rsidR="003C6B7E" w:rsidTr="00EF53D1">
        <w:tc>
          <w:tcPr>
            <w:tcW w:w="0" w:type="auto"/>
          </w:tcPr>
          <w:p w:rsidR="009C00DB" w:rsidRDefault="009C00DB" w:rsidP="00FA6576">
            <w:pPr>
              <w:spacing w:line="360" w:lineRule="auto"/>
              <w:jc w:val="both"/>
            </w:pPr>
            <w:r>
              <w:t>6</w:t>
            </w:r>
          </w:p>
        </w:tc>
        <w:tc>
          <w:tcPr>
            <w:tcW w:w="0" w:type="auto"/>
          </w:tcPr>
          <w:p w:rsidR="009C00DB" w:rsidRDefault="009C00DB" w:rsidP="00FA6576">
            <w:pPr>
              <w:spacing w:line="360" w:lineRule="auto"/>
              <w:jc w:val="both"/>
            </w:pPr>
            <w:r>
              <w:t xml:space="preserve">We have </w:t>
            </w:r>
            <w:r w:rsidR="00EF53D1">
              <w:t>interdepartmentalmeetingat least</w:t>
            </w:r>
            <w:r>
              <w:t xml:space="preserve"> once a </w:t>
            </w:r>
            <w:r w:rsidR="00EF53D1">
              <w:t>quarter</w:t>
            </w:r>
            <w:r>
              <w:t xml:space="preserve"> to </w:t>
            </w:r>
            <w:r w:rsidR="00EF53D1">
              <w:t>discussmarketing</w:t>
            </w:r>
            <w:r>
              <w:t xml:space="preserve"> trends and development</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1.44</w:t>
            </w:r>
          </w:p>
        </w:tc>
        <w:tc>
          <w:tcPr>
            <w:tcW w:w="0" w:type="auto"/>
          </w:tcPr>
          <w:p w:rsidR="009C00DB" w:rsidRDefault="00EF53D1" w:rsidP="00FA6576">
            <w:pPr>
              <w:spacing w:line="360" w:lineRule="auto"/>
              <w:jc w:val="both"/>
            </w:pPr>
            <w:r>
              <w:t>.499</w:t>
            </w:r>
          </w:p>
        </w:tc>
        <w:tc>
          <w:tcPr>
            <w:tcW w:w="0" w:type="auto"/>
          </w:tcPr>
          <w:p w:rsidR="009C00DB" w:rsidRDefault="00EF53D1" w:rsidP="00FA6576">
            <w:pPr>
              <w:spacing w:line="360" w:lineRule="auto"/>
              <w:jc w:val="both"/>
            </w:pPr>
            <w:r>
              <w:t>.056</w:t>
            </w:r>
          </w:p>
        </w:tc>
      </w:tr>
      <w:tr w:rsidR="003C6B7E" w:rsidTr="00EF53D1">
        <w:tc>
          <w:tcPr>
            <w:tcW w:w="0" w:type="auto"/>
          </w:tcPr>
          <w:p w:rsidR="009C00DB" w:rsidRDefault="009C00DB" w:rsidP="00FA6576">
            <w:pPr>
              <w:spacing w:line="360" w:lineRule="auto"/>
              <w:jc w:val="both"/>
            </w:pPr>
            <w:r>
              <w:t>7</w:t>
            </w:r>
          </w:p>
        </w:tc>
        <w:tc>
          <w:tcPr>
            <w:tcW w:w="0" w:type="auto"/>
          </w:tcPr>
          <w:p w:rsidR="009C00DB" w:rsidRDefault="00EF53D1" w:rsidP="00FA6576">
            <w:pPr>
              <w:spacing w:line="360" w:lineRule="auto"/>
              <w:jc w:val="both"/>
            </w:pPr>
            <w:r>
              <w:t>Marketingpersonnelin</w:t>
            </w:r>
            <w:r w:rsidR="009C00DB">
              <w:t xml:space="preserve"> our </w:t>
            </w:r>
            <w:r>
              <w:t>organisation</w:t>
            </w:r>
            <w:r w:rsidR="009C00DB">
              <w:t xml:space="preserve"> spend </w:t>
            </w:r>
            <w:r>
              <w:t>timediscussing</w:t>
            </w:r>
            <w:r w:rsidR="009C00DB">
              <w:t xml:space="preserve"> customers future needs </w:t>
            </w:r>
            <w:r>
              <w:t>with</w:t>
            </w:r>
            <w:r w:rsidR="009C00DB">
              <w:t xml:space="preserve"> other </w:t>
            </w:r>
            <w:r>
              <w:t>functional</w:t>
            </w:r>
            <w:r w:rsidR="009C00DB">
              <w:t xml:space="preserve"> department</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1.45</w:t>
            </w:r>
          </w:p>
        </w:tc>
        <w:tc>
          <w:tcPr>
            <w:tcW w:w="0" w:type="auto"/>
          </w:tcPr>
          <w:p w:rsidR="009C00DB" w:rsidRDefault="00EF53D1" w:rsidP="00FA6576">
            <w:pPr>
              <w:spacing w:line="360" w:lineRule="auto"/>
              <w:jc w:val="both"/>
            </w:pPr>
            <w:r>
              <w:t>.501</w:t>
            </w:r>
          </w:p>
        </w:tc>
        <w:tc>
          <w:tcPr>
            <w:tcW w:w="0" w:type="auto"/>
          </w:tcPr>
          <w:p w:rsidR="009C00DB" w:rsidRDefault="00EF53D1" w:rsidP="00FA6576">
            <w:pPr>
              <w:spacing w:line="360" w:lineRule="auto"/>
              <w:jc w:val="both"/>
            </w:pPr>
            <w:r>
              <w:t>.056</w:t>
            </w:r>
          </w:p>
        </w:tc>
      </w:tr>
      <w:tr w:rsidR="009C00DB" w:rsidTr="00EF53D1">
        <w:tc>
          <w:tcPr>
            <w:tcW w:w="0" w:type="auto"/>
          </w:tcPr>
          <w:p w:rsidR="009C00DB" w:rsidRDefault="009C00DB" w:rsidP="00FA6576">
            <w:pPr>
              <w:spacing w:line="360" w:lineRule="auto"/>
              <w:jc w:val="both"/>
            </w:pPr>
            <w:r>
              <w:t>8</w:t>
            </w:r>
          </w:p>
        </w:tc>
        <w:tc>
          <w:tcPr>
            <w:tcW w:w="0" w:type="auto"/>
          </w:tcPr>
          <w:p w:rsidR="009C00DB" w:rsidRDefault="009C00DB" w:rsidP="00FA6576">
            <w:pPr>
              <w:spacing w:line="360" w:lineRule="auto"/>
              <w:jc w:val="both"/>
            </w:pPr>
            <w:r>
              <w:t xml:space="preserve">Several department get together </w:t>
            </w:r>
            <w:r w:rsidR="00EF53D1">
              <w:t>periodically</w:t>
            </w:r>
            <w:r>
              <w:t xml:space="preserve"> to plan a response to changes </w:t>
            </w:r>
            <w:r w:rsidR="00EF53D1">
              <w:t>taking</w:t>
            </w:r>
            <w:r>
              <w:t xml:space="preserve"> place </w:t>
            </w:r>
            <w:r w:rsidR="00EF53D1">
              <w:t>in</w:t>
            </w:r>
            <w:r>
              <w:t xml:space="preserve"> our </w:t>
            </w:r>
            <w:r w:rsidR="00EF53D1">
              <w:t>marketingenvironment</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1.36</w:t>
            </w:r>
          </w:p>
        </w:tc>
        <w:tc>
          <w:tcPr>
            <w:tcW w:w="0" w:type="auto"/>
          </w:tcPr>
          <w:p w:rsidR="009C00DB" w:rsidRDefault="00EF53D1" w:rsidP="00FA6576">
            <w:pPr>
              <w:spacing w:line="360" w:lineRule="auto"/>
              <w:jc w:val="both"/>
            </w:pPr>
            <w:r>
              <w:t>.484</w:t>
            </w:r>
          </w:p>
        </w:tc>
        <w:tc>
          <w:tcPr>
            <w:tcW w:w="0" w:type="auto"/>
          </w:tcPr>
          <w:p w:rsidR="009C00DB" w:rsidRDefault="00EF53D1" w:rsidP="00FA6576">
            <w:pPr>
              <w:spacing w:line="360" w:lineRule="auto"/>
              <w:jc w:val="both"/>
            </w:pPr>
            <w:r>
              <w:t>.054</w:t>
            </w:r>
          </w:p>
        </w:tc>
      </w:tr>
      <w:tr w:rsidR="009C00DB" w:rsidTr="00EF53D1">
        <w:tc>
          <w:tcPr>
            <w:tcW w:w="0" w:type="auto"/>
          </w:tcPr>
          <w:p w:rsidR="009C00DB" w:rsidRDefault="009C00DB" w:rsidP="00FA6576">
            <w:pPr>
              <w:spacing w:line="360" w:lineRule="auto"/>
              <w:jc w:val="both"/>
            </w:pPr>
            <w:r>
              <w:t>9</w:t>
            </w:r>
          </w:p>
        </w:tc>
        <w:tc>
          <w:tcPr>
            <w:tcW w:w="0" w:type="auto"/>
          </w:tcPr>
          <w:p w:rsidR="009C00DB" w:rsidRDefault="009C00DB" w:rsidP="00FA6576">
            <w:pPr>
              <w:spacing w:line="360" w:lineRule="auto"/>
              <w:jc w:val="both"/>
            </w:pPr>
            <w:r>
              <w:t xml:space="preserve">If a major </w:t>
            </w:r>
            <w:r w:rsidR="00EF53D1">
              <w:t>competitor</w:t>
            </w:r>
            <w:r>
              <w:t xml:space="preserve"> were to launch a major </w:t>
            </w:r>
            <w:r w:rsidR="00EF53D1">
              <w:t>campaign</w:t>
            </w:r>
            <w:r>
              <w:t xml:space="preserve"> targeted at our customers, we would </w:t>
            </w:r>
            <w:r w:rsidR="00EF53D1">
              <w:t>implement</w:t>
            </w:r>
            <w:r>
              <w:t xml:space="preserve"> a response </w:t>
            </w:r>
            <w:r w:rsidR="00EF53D1">
              <w:t>immediat</w:t>
            </w:r>
            <w:r>
              <w:t>ely</w:t>
            </w:r>
            <w:r w:rsidR="00EF53D1">
              <w:t>.</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1.56</w:t>
            </w:r>
          </w:p>
        </w:tc>
        <w:tc>
          <w:tcPr>
            <w:tcW w:w="0" w:type="auto"/>
          </w:tcPr>
          <w:p w:rsidR="009C00DB" w:rsidRDefault="00EF53D1" w:rsidP="00FA6576">
            <w:pPr>
              <w:spacing w:line="360" w:lineRule="auto"/>
              <w:jc w:val="both"/>
            </w:pPr>
            <w:r>
              <w:t>.548</w:t>
            </w:r>
          </w:p>
        </w:tc>
        <w:tc>
          <w:tcPr>
            <w:tcW w:w="0" w:type="auto"/>
          </w:tcPr>
          <w:p w:rsidR="009C00DB" w:rsidRDefault="00EF53D1" w:rsidP="00FA6576">
            <w:pPr>
              <w:spacing w:line="360" w:lineRule="auto"/>
              <w:jc w:val="both"/>
            </w:pPr>
            <w:r>
              <w:t>.061</w:t>
            </w:r>
          </w:p>
        </w:tc>
      </w:tr>
      <w:tr w:rsidR="009C00DB" w:rsidTr="00EF53D1">
        <w:tc>
          <w:tcPr>
            <w:tcW w:w="0" w:type="auto"/>
          </w:tcPr>
          <w:p w:rsidR="009C00DB" w:rsidRDefault="00EF53D1" w:rsidP="00FA6576">
            <w:pPr>
              <w:spacing w:line="360" w:lineRule="auto"/>
              <w:jc w:val="both"/>
            </w:pPr>
            <w:r>
              <w:lastRenderedPageBreak/>
              <w:t>10</w:t>
            </w:r>
          </w:p>
        </w:tc>
        <w:tc>
          <w:tcPr>
            <w:tcW w:w="0" w:type="auto"/>
          </w:tcPr>
          <w:p w:rsidR="009C00DB" w:rsidRDefault="00EF53D1" w:rsidP="00FA6576">
            <w:pPr>
              <w:spacing w:line="360" w:lineRule="auto"/>
              <w:jc w:val="both"/>
            </w:pPr>
            <w:r>
              <w:t>The activities of the different department in this business are well coordinated</w:t>
            </w:r>
          </w:p>
        </w:tc>
        <w:tc>
          <w:tcPr>
            <w:tcW w:w="0" w:type="auto"/>
          </w:tcPr>
          <w:p w:rsidR="009C00DB" w:rsidRDefault="00EF53D1" w:rsidP="00FA6576">
            <w:pPr>
              <w:spacing w:line="360" w:lineRule="auto"/>
              <w:jc w:val="both"/>
            </w:pPr>
            <w:r>
              <w:t>80</w:t>
            </w:r>
          </w:p>
        </w:tc>
        <w:tc>
          <w:tcPr>
            <w:tcW w:w="0" w:type="auto"/>
          </w:tcPr>
          <w:p w:rsidR="009C00DB" w:rsidRDefault="00EF53D1" w:rsidP="00FA6576">
            <w:pPr>
              <w:spacing w:line="360" w:lineRule="auto"/>
              <w:jc w:val="both"/>
            </w:pPr>
            <w:r>
              <w:t>1.29</w:t>
            </w:r>
          </w:p>
        </w:tc>
        <w:tc>
          <w:tcPr>
            <w:tcW w:w="0" w:type="auto"/>
          </w:tcPr>
          <w:p w:rsidR="009C00DB" w:rsidRDefault="00EF53D1" w:rsidP="00FA6576">
            <w:pPr>
              <w:spacing w:line="360" w:lineRule="auto"/>
              <w:jc w:val="both"/>
            </w:pPr>
            <w:r>
              <w:t>.482</w:t>
            </w:r>
          </w:p>
        </w:tc>
        <w:tc>
          <w:tcPr>
            <w:tcW w:w="0" w:type="auto"/>
          </w:tcPr>
          <w:p w:rsidR="009C00DB" w:rsidRDefault="00EF53D1" w:rsidP="00FA6576">
            <w:pPr>
              <w:spacing w:line="360" w:lineRule="auto"/>
              <w:jc w:val="both"/>
            </w:pPr>
            <w:r>
              <w:t>.054</w:t>
            </w:r>
          </w:p>
        </w:tc>
      </w:tr>
      <w:tr w:rsidR="00394C25" w:rsidTr="00EF53D1">
        <w:tc>
          <w:tcPr>
            <w:tcW w:w="0" w:type="auto"/>
          </w:tcPr>
          <w:p w:rsidR="00394C25" w:rsidRDefault="001B452E" w:rsidP="00FA6576">
            <w:pPr>
              <w:spacing w:line="360" w:lineRule="auto"/>
              <w:jc w:val="both"/>
            </w:pPr>
            <w:r>
              <w:t>X</w:t>
            </w:r>
            <w:r w:rsidRPr="001B452E">
              <w:rPr>
                <w:vertAlign w:val="superscript"/>
              </w:rPr>
              <w:t>2</w:t>
            </w:r>
            <w:r>
              <w:t>/N</w:t>
            </w:r>
          </w:p>
        </w:tc>
        <w:tc>
          <w:tcPr>
            <w:tcW w:w="0" w:type="auto"/>
          </w:tcPr>
          <w:p w:rsidR="00394C25" w:rsidRDefault="00394C25" w:rsidP="00FA6576">
            <w:pPr>
              <w:spacing w:line="360" w:lineRule="auto"/>
              <w:jc w:val="both"/>
            </w:pPr>
          </w:p>
        </w:tc>
        <w:tc>
          <w:tcPr>
            <w:tcW w:w="0" w:type="auto"/>
          </w:tcPr>
          <w:p w:rsidR="00394C25" w:rsidRDefault="00394C25" w:rsidP="00FA6576">
            <w:pPr>
              <w:spacing w:line="360" w:lineRule="auto"/>
              <w:jc w:val="both"/>
            </w:pPr>
          </w:p>
        </w:tc>
        <w:tc>
          <w:tcPr>
            <w:tcW w:w="0" w:type="auto"/>
          </w:tcPr>
          <w:p w:rsidR="00394C25" w:rsidRDefault="00394C25" w:rsidP="00FA6576">
            <w:pPr>
              <w:spacing w:line="360" w:lineRule="auto"/>
              <w:jc w:val="both"/>
            </w:pPr>
            <w:r>
              <w:t>1.783</w:t>
            </w:r>
          </w:p>
        </w:tc>
        <w:tc>
          <w:tcPr>
            <w:tcW w:w="0" w:type="auto"/>
          </w:tcPr>
          <w:p w:rsidR="00394C25" w:rsidRDefault="00394C25" w:rsidP="00FA6576">
            <w:pPr>
              <w:spacing w:line="360" w:lineRule="auto"/>
              <w:jc w:val="both"/>
            </w:pPr>
          </w:p>
        </w:tc>
        <w:tc>
          <w:tcPr>
            <w:tcW w:w="0" w:type="auto"/>
          </w:tcPr>
          <w:p w:rsidR="00394C25" w:rsidRDefault="00394C25" w:rsidP="00FA6576">
            <w:pPr>
              <w:spacing w:line="360" w:lineRule="auto"/>
              <w:jc w:val="both"/>
            </w:pPr>
          </w:p>
        </w:tc>
      </w:tr>
    </w:tbl>
    <w:p w:rsidR="00A26071" w:rsidRDefault="00A26071" w:rsidP="00FA6576">
      <w:pPr>
        <w:spacing w:line="360" w:lineRule="auto"/>
        <w:jc w:val="both"/>
      </w:pPr>
    </w:p>
    <w:p w:rsidR="008F291B" w:rsidRDefault="006D6D40" w:rsidP="00FA6576">
      <w:pPr>
        <w:spacing w:line="360" w:lineRule="auto"/>
        <w:jc w:val="both"/>
      </w:pPr>
      <w:r>
        <w:t xml:space="preserve">The mean result was 1.783 on a 5-point </w:t>
      </w:r>
      <w:proofErr w:type="spellStart"/>
      <w:r>
        <w:t>Likert</w:t>
      </w:r>
      <w:proofErr w:type="spellEnd"/>
      <w:r>
        <w:t xml:space="preserve"> Scale were 1 meant “I totally agree” and “5” meant “I totally disagree”.  In other words, an average respondent agrees that the Near East Bank is a market-oriented organisation.  The only anomalous response appeared as the statement 3 which recorded a response of value 4.33 </w:t>
      </w:r>
      <w:r w:rsidR="008F291B">
        <w:t>disagreeing</w:t>
      </w:r>
      <w:r>
        <w:t xml:space="preserve"> with the statement: “We are slow to detect changes in our </w:t>
      </w:r>
      <w:r w:rsidR="008F291B">
        <w:t>customers’</w:t>
      </w:r>
      <w:r>
        <w:t xml:space="preserve"> preferences”.  However, this was a statement constructed in reverse </w:t>
      </w:r>
      <w:r w:rsidR="008F291B">
        <w:t>order;</w:t>
      </w:r>
      <w:r>
        <w:t xml:space="preserve"> therefore, it should be regarded as another agreement with the suggestion that this organisation is market-oriented.</w:t>
      </w:r>
    </w:p>
    <w:p w:rsidR="008F291B" w:rsidRPr="008F291B" w:rsidRDefault="008F291B" w:rsidP="00FA6576">
      <w:pPr>
        <w:spacing w:line="360" w:lineRule="auto"/>
        <w:jc w:val="both"/>
        <w:rPr>
          <w:b/>
        </w:rPr>
      </w:pPr>
      <w:r w:rsidRPr="008F291B">
        <w:rPr>
          <w:b/>
        </w:rPr>
        <w:t>Major finding:  Near East Bank employees agree that the bank</w:t>
      </w:r>
      <w:r w:rsidR="002D05FA">
        <w:rPr>
          <w:b/>
        </w:rPr>
        <w:t xml:space="preserve"> is a market-oriented organisation</w:t>
      </w:r>
      <w:r w:rsidRPr="008F291B">
        <w:rPr>
          <w:b/>
        </w:rPr>
        <w:t>.</w:t>
      </w:r>
    </w:p>
    <w:p w:rsidR="00084A1D" w:rsidRDefault="00084A1D" w:rsidP="00FA6576">
      <w:pPr>
        <w:spacing w:line="360" w:lineRule="auto"/>
        <w:jc w:val="both"/>
      </w:pPr>
    </w:p>
    <w:p w:rsidR="00084A1D" w:rsidRDefault="008F291B" w:rsidP="00FA6576">
      <w:pPr>
        <w:spacing w:line="360" w:lineRule="auto"/>
        <w:jc w:val="both"/>
        <w:rPr>
          <w:b/>
        </w:rPr>
      </w:pPr>
      <w:r>
        <w:rPr>
          <w:b/>
        </w:rPr>
        <w:t xml:space="preserve">5.6 </w:t>
      </w:r>
      <w:r w:rsidR="00084A1D">
        <w:rPr>
          <w:b/>
        </w:rPr>
        <w:t>Market/ Financial Based Performance of Near East Bank</w:t>
      </w:r>
    </w:p>
    <w:p w:rsidR="00084A1D" w:rsidRDefault="00084A1D" w:rsidP="00FA6576">
      <w:pPr>
        <w:spacing w:line="360" w:lineRule="auto"/>
        <w:jc w:val="both"/>
      </w:pPr>
      <w:r>
        <w:t>The following tables and analysis depict the findings on the financial and market-based performances of the Near East Bank.  Figures are obtained from the income statements and balance sheets of the Bank between the years 2009 and 2012.  The figures for the market size (as contributions of financial institutions to GDP) were obtained from the TRNC State Planning Office (2009).</w:t>
      </w:r>
    </w:p>
    <w:p w:rsidR="00084A1D" w:rsidRDefault="00084A1D" w:rsidP="00FA6576">
      <w:pPr>
        <w:spacing w:line="360" w:lineRule="auto"/>
        <w:jc w:val="both"/>
        <w:rPr>
          <w:b/>
        </w:rPr>
      </w:pPr>
      <w:r>
        <w:rPr>
          <w:b/>
        </w:rPr>
        <w:t>Table:</w:t>
      </w:r>
      <w:r w:rsidR="008F291B">
        <w:rPr>
          <w:b/>
        </w:rPr>
        <w:t xml:space="preserve"> 5.6 financial </w:t>
      </w:r>
      <w:r w:rsidR="009410F8">
        <w:rPr>
          <w:b/>
        </w:rPr>
        <w:t>summaries</w:t>
      </w:r>
      <w:r w:rsidR="008F291B">
        <w:rPr>
          <w:b/>
        </w:rPr>
        <w:t xml:space="preserve"> (Near East Bank)</w:t>
      </w:r>
    </w:p>
    <w:tbl>
      <w:tblPr>
        <w:tblW w:w="5000" w:type="pct"/>
        <w:tblLook w:val="04A0"/>
      </w:tblPr>
      <w:tblGrid>
        <w:gridCol w:w="372"/>
        <w:gridCol w:w="3649"/>
        <w:gridCol w:w="1336"/>
        <w:gridCol w:w="1336"/>
        <w:gridCol w:w="1432"/>
        <w:gridCol w:w="1497"/>
      </w:tblGrid>
      <w:tr w:rsidR="00084A1D" w:rsidTr="00084A1D">
        <w:tc>
          <w:tcPr>
            <w:tcW w:w="194"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b/>
                <w:sz w:val="22"/>
                <w:szCs w:val="22"/>
                <w:lang w:val="en-GB" w:eastAsia="en-US"/>
              </w:rPr>
            </w:pP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(Turkish Liras)</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2009 (base)</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2010</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2011</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2012</w:t>
            </w:r>
          </w:p>
        </w:tc>
      </w:tr>
      <w:tr w:rsidR="00084A1D" w:rsidTr="00084A1D">
        <w:tc>
          <w:tcPr>
            <w:tcW w:w="194"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1896"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694"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694"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744"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779" w:type="pct"/>
            <w:tcBorders>
              <w:top w:val="single" w:sz="4" w:space="0" w:color="auto"/>
              <w:left w:val="single" w:sz="4" w:space="0" w:color="auto"/>
              <w:bottom w:val="single" w:sz="4" w:space="0" w:color="auto"/>
              <w:right w:val="single" w:sz="4" w:space="0" w:color="auto"/>
            </w:tcBorders>
          </w:tcPr>
          <w:p w:rsidR="00084A1D" w:rsidRDefault="00084A1D" w:rsidP="00FA6576">
            <w:pPr>
              <w:pStyle w:val="NoSpacing"/>
              <w:spacing w:line="360" w:lineRule="auto"/>
              <w:jc w:val="both"/>
              <w:rPr>
                <w:rFonts w:asciiTheme="minorHAnsi" w:hAnsiTheme="minorHAnsi"/>
                <w:sz w:val="22"/>
                <w:szCs w:val="22"/>
                <w:lang w:val="en-GB" w:eastAsia="en-US"/>
              </w:rPr>
            </w:pP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A</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Total Interest and dividend income</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21,456,880</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24,391,162</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29,109,078</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33,502,811</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B</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Total Interest expenses</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17,626,156</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15,390,874</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spacing w:after="0" w:line="360" w:lineRule="auto"/>
              <w:jc w:val="both"/>
              <w:rPr>
                <w:rFonts w:cs="Times New Roman"/>
                <w:lang w:val="tr-TR"/>
              </w:rPr>
            </w:pPr>
            <w:r>
              <w:rPr>
                <w:rFonts w:cs="Times New Roman"/>
                <w:lang w:val="tr-TR"/>
              </w:rPr>
              <w:t>16,908,257</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22,010,704</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C</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Interest income and dividend net</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3,830,724</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9,000,288</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12,200,821</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11,492,107</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D</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Total Non-interest income</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12,202,597</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7,837,810</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12,850,173</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11,519,300</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E</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Total Non-interest expenses</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20,677,615</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11,299,871</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16,708,777</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20,752,137</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F</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Non-interest income and expenses net</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-8,475,018</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-3,462,061</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-3,858,604</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-9,232,837</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G</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Income (loss) before income tax</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-4,644,294</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spacing w:after="0" w:line="360" w:lineRule="auto"/>
              <w:jc w:val="both"/>
              <w:rPr>
                <w:rFonts w:cs="Times New Roman"/>
              </w:rPr>
            </w:pPr>
            <w:r>
              <w:rPr>
                <w:rFonts w:cs="Times New Roman"/>
              </w:rPr>
              <w:t>5,538,227</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spacing w:after="0" w:line="360" w:lineRule="auto"/>
              <w:jc w:val="both"/>
              <w:rPr>
                <w:rFonts w:cs="Times New Roman"/>
              </w:rPr>
            </w:pPr>
            <w:r>
              <w:rPr>
                <w:rFonts w:cs="Times New Roman"/>
              </w:rPr>
              <w:t>8,342,217</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spacing w:after="0" w:line="360" w:lineRule="auto"/>
              <w:jc w:val="both"/>
              <w:rPr>
                <w:rFonts w:cs="Times New Roman"/>
              </w:rPr>
            </w:pPr>
            <w:r>
              <w:rPr>
                <w:rFonts w:cs="Times New Roman"/>
              </w:rPr>
              <w:t>2,259,270</w:t>
            </w:r>
          </w:p>
        </w:tc>
      </w:tr>
      <w:tr w:rsidR="00084A1D" w:rsidTr="00084A1D">
        <w:tc>
          <w:tcPr>
            <w:tcW w:w="1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lastRenderedPageBreak/>
              <w:t>H</w:t>
            </w:r>
          </w:p>
        </w:tc>
        <w:tc>
          <w:tcPr>
            <w:tcW w:w="1896"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Assets</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199,255,890</w:t>
            </w:r>
          </w:p>
        </w:tc>
        <w:tc>
          <w:tcPr>
            <w:tcW w:w="69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227,990,940</w:t>
            </w:r>
          </w:p>
        </w:tc>
        <w:tc>
          <w:tcPr>
            <w:tcW w:w="744" w:type="pct"/>
            <w:tcBorders>
              <w:top w:val="single" w:sz="4" w:space="0" w:color="auto"/>
              <w:left w:val="single" w:sz="4" w:space="0" w:color="auto"/>
              <w:bottom w:val="single" w:sz="4" w:space="0" w:color="auto"/>
              <w:right w:val="single" w:sz="4" w:space="0" w:color="auto"/>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292, 968, 167</w:t>
            </w:r>
          </w:p>
        </w:tc>
        <w:tc>
          <w:tcPr>
            <w:tcW w:w="779" w:type="pct"/>
            <w:tcBorders>
              <w:top w:val="single" w:sz="4" w:space="0" w:color="auto"/>
              <w:left w:val="single" w:sz="4" w:space="0" w:color="auto"/>
              <w:bottom w:val="single" w:sz="4" w:space="0" w:color="auto"/>
              <w:right w:val="single" w:sz="4" w:space="0" w:color="auto"/>
            </w:tcBorders>
            <w:hideMark/>
          </w:tcPr>
          <w:p w:rsidR="00084A1D" w:rsidRDefault="00084A1D" w:rsidP="00FA6576">
            <w:pPr>
              <w:spacing w:after="0" w:line="360" w:lineRule="auto"/>
              <w:jc w:val="both"/>
              <w:rPr>
                <w:rFonts w:cs="Times New Roman"/>
                <w:lang w:val="tr-TR"/>
              </w:rPr>
            </w:pPr>
            <w:r>
              <w:rPr>
                <w:rFonts w:cs="Times New Roman"/>
                <w:lang w:val="tr-TR"/>
              </w:rPr>
              <w:t>376, 934,477</w:t>
            </w:r>
          </w:p>
        </w:tc>
      </w:tr>
      <w:tr w:rsidR="00084A1D" w:rsidTr="00084A1D">
        <w:tc>
          <w:tcPr>
            <w:tcW w:w="194" w:type="pct"/>
            <w:tcBorders>
              <w:top w:val="single" w:sz="4" w:space="0" w:color="auto"/>
              <w:left w:val="nil"/>
              <w:bottom w:val="nil"/>
              <w:right w:val="nil"/>
            </w:tcBorders>
          </w:tcPr>
          <w:p w:rsidR="00084A1D" w:rsidRDefault="00084A1D" w:rsidP="00FA6576">
            <w:pPr>
              <w:pStyle w:val="NoSpacing"/>
              <w:spacing w:line="360" w:lineRule="auto"/>
              <w:jc w:val="both"/>
              <w:rPr>
                <w:rFonts w:asciiTheme="minorHAnsi" w:hAnsiTheme="minorHAnsi"/>
                <w:sz w:val="22"/>
                <w:szCs w:val="22"/>
                <w:lang w:val="en-GB" w:eastAsia="en-US"/>
              </w:rPr>
            </w:pPr>
          </w:p>
        </w:tc>
        <w:tc>
          <w:tcPr>
            <w:tcW w:w="1896" w:type="pct"/>
            <w:tcBorders>
              <w:top w:val="single" w:sz="4" w:space="0" w:color="auto"/>
              <w:left w:val="nil"/>
              <w:bottom w:val="nil"/>
              <w:right w:val="nil"/>
            </w:tcBorders>
            <w:hideMark/>
          </w:tcPr>
          <w:p w:rsidR="00084A1D" w:rsidRDefault="00084A1D" w:rsidP="00FA6576">
            <w:pPr>
              <w:spacing w:after="0" w:line="360" w:lineRule="auto"/>
              <w:jc w:val="both"/>
              <w:rPr>
                <w:rFonts w:cs="Times New Roman"/>
              </w:rPr>
            </w:pPr>
          </w:p>
        </w:tc>
        <w:tc>
          <w:tcPr>
            <w:tcW w:w="694" w:type="pct"/>
            <w:tcBorders>
              <w:top w:val="single" w:sz="4" w:space="0" w:color="auto"/>
              <w:left w:val="nil"/>
              <w:bottom w:val="nil"/>
              <w:right w:val="nil"/>
            </w:tcBorders>
            <w:hideMark/>
          </w:tcPr>
          <w:p w:rsidR="00084A1D" w:rsidRDefault="00084A1D" w:rsidP="00FA6576">
            <w:pPr>
              <w:spacing w:after="0" w:line="360" w:lineRule="auto"/>
              <w:jc w:val="both"/>
              <w:rPr>
                <w:rFonts w:cs="Times New Roman"/>
              </w:rPr>
            </w:pPr>
          </w:p>
        </w:tc>
        <w:tc>
          <w:tcPr>
            <w:tcW w:w="694" w:type="pct"/>
            <w:tcBorders>
              <w:top w:val="single" w:sz="4" w:space="0" w:color="auto"/>
              <w:left w:val="nil"/>
              <w:bottom w:val="nil"/>
              <w:right w:val="nil"/>
            </w:tcBorders>
            <w:hideMark/>
          </w:tcPr>
          <w:p w:rsidR="00084A1D" w:rsidRDefault="00084A1D" w:rsidP="00FA6576">
            <w:pPr>
              <w:spacing w:after="0" w:line="360" w:lineRule="auto"/>
              <w:jc w:val="both"/>
              <w:rPr>
                <w:rFonts w:cs="Times New Roman"/>
              </w:rPr>
            </w:pPr>
          </w:p>
        </w:tc>
        <w:tc>
          <w:tcPr>
            <w:tcW w:w="744" w:type="pct"/>
            <w:tcBorders>
              <w:top w:val="single" w:sz="4" w:space="0" w:color="auto"/>
              <w:left w:val="nil"/>
              <w:bottom w:val="nil"/>
              <w:right w:val="nil"/>
            </w:tcBorders>
            <w:hideMark/>
          </w:tcPr>
          <w:p w:rsidR="00084A1D" w:rsidRDefault="00084A1D" w:rsidP="00FA6576">
            <w:pPr>
              <w:spacing w:after="0" w:line="360" w:lineRule="auto"/>
              <w:jc w:val="both"/>
              <w:rPr>
                <w:rFonts w:cs="Times New Roman"/>
              </w:rPr>
            </w:pPr>
          </w:p>
        </w:tc>
        <w:tc>
          <w:tcPr>
            <w:tcW w:w="779" w:type="pct"/>
            <w:tcBorders>
              <w:top w:val="single" w:sz="4" w:space="0" w:color="auto"/>
              <w:left w:val="nil"/>
              <w:bottom w:val="nil"/>
              <w:right w:val="nil"/>
            </w:tcBorders>
            <w:hideMark/>
          </w:tcPr>
          <w:p w:rsidR="00084A1D" w:rsidRDefault="00084A1D" w:rsidP="00FA6576">
            <w:pPr>
              <w:spacing w:after="0" w:line="360" w:lineRule="auto"/>
              <w:jc w:val="both"/>
              <w:rPr>
                <w:rFonts w:cs="Times New Roman"/>
              </w:rPr>
            </w:pPr>
          </w:p>
        </w:tc>
      </w:tr>
    </w:tbl>
    <w:p w:rsidR="00084A1D" w:rsidRDefault="00084A1D" w:rsidP="00FA6576">
      <w:pPr>
        <w:pStyle w:val="NoSpacing"/>
        <w:spacing w:line="360" w:lineRule="auto"/>
        <w:jc w:val="both"/>
        <w:rPr>
          <w:rFonts w:asciiTheme="minorHAnsi" w:hAnsiTheme="minorHAnsi"/>
          <w:b/>
          <w:sz w:val="22"/>
          <w:szCs w:val="22"/>
          <w:lang w:val="en-GB"/>
        </w:rPr>
      </w:pPr>
      <w:r>
        <w:rPr>
          <w:rFonts w:asciiTheme="minorHAnsi" w:hAnsiTheme="minorHAnsi"/>
          <w:b/>
          <w:sz w:val="22"/>
          <w:szCs w:val="22"/>
          <w:lang w:val="en-GB"/>
        </w:rPr>
        <w:t>Table:</w:t>
      </w:r>
      <w:r w:rsidR="008F291B">
        <w:rPr>
          <w:rFonts w:asciiTheme="minorHAnsi" w:hAnsiTheme="minorHAnsi"/>
          <w:b/>
          <w:sz w:val="22"/>
          <w:szCs w:val="22"/>
          <w:lang w:val="en-GB"/>
        </w:rPr>
        <w:t xml:space="preserve">  5.7 financial performance ratios (Near East Bank)</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5823"/>
        <w:gridCol w:w="901"/>
        <w:gridCol w:w="966"/>
        <w:gridCol w:w="966"/>
        <w:gridCol w:w="966"/>
      </w:tblGrid>
      <w:tr w:rsidR="00084A1D" w:rsidTr="00084A1D">
        <w:tc>
          <w:tcPr>
            <w:tcW w:w="30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Financial-based performance:</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2009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2011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2012</w:t>
            </w:r>
          </w:p>
        </w:tc>
      </w:tr>
      <w:tr w:rsidR="00084A1D" w:rsidTr="00084A1D">
        <w:tc>
          <w:tcPr>
            <w:tcW w:w="30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Income on assets (G/H %)</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-23%</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24.3%</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28.5%</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59.1%</w:t>
            </w:r>
          </w:p>
        </w:tc>
      </w:tr>
      <w:tr w:rsidR="00084A1D" w:rsidTr="00084A1D">
        <w:tc>
          <w:tcPr>
            <w:tcW w:w="30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Net interest Income/ Total interest income C/A %)</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17.9%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36.9%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41.9%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34.3%</w:t>
            </w:r>
          </w:p>
        </w:tc>
      </w:tr>
      <w:tr w:rsidR="00084A1D" w:rsidTr="00084A1D">
        <w:tc>
          <w:tcPr>
            <w:tcW w:w="30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Net noninterest income/ Total non-interest income (F/E %)</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-41.0%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-30.6%</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-23.1%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-44.5%</w:t>
            </w:r>
          </w:p>
        </w:tc>
      </w:tr>
    </w:tbl>
    <w:p w:rsidR="00084A1D" w:rsidRDefault="00084A1D" w:rsidP="00FA6576">
      <w:pPr>
        <w:pStyle w:val="NoSpacing"/>
        <w:spacing w:line="360" w:lineRule="auto"/>
        <w:jc w:val="both"/>
        <w:rPr>
          <w:rFonts w:asciiTheme="minorHAnsi" w:hAnsiTheme="minorHAnsi"/>
          <w:b/>
          <w:sz w:val="22"/>
          <w:szCs w:val="22"/>
          <w:lang w:val="en-GB"/>
        </w:rPr>
      </w:pPr>
    </w:p>
    <w:p w:rsidR="00084A1D" w:rsidRDefault="00084A1D" w:rsidP="00FA6576">
      <w:pPr>
        <w:pStyle w:val="NoSpacing"/>
        <w:spacing w:line="360" w:lineRule="auto"/>
        <w:jc w:val="both"/>
        <w:rPr>
          <w:rFonts w:asciiTheme="minorHAnsi" w:hAnsiTheme="minorHAnsi"/>
          <w:b/>
          <w:sz w:val="22"/>
          <w:szCs w:val="22"/>
          <w:lang w:val="en-GB"/>
        </w:rPr>
      </w:pPr>
      <w:r>
        <w:rPr>
          <w:rFonts w:asciiTheme="minorHAnsi" w:hAnsiTheme="minorHAnsi"/>
          <w:b/>
          <w:sz w:val="22"/>
          <w:szCs w:val="22"/>
          <w:lang w:val="en-GB"/>
        </w:rPr>
        <w:t>Findings</w:t>
      </w:r>
    </w:p>
    <w:p w:rsidR="00084A1D" w:rsidRDefault="00084A1D" w:rsidP="00FA6576">
      <w:pPr>
        <w:pStyle w:val="NoSpacing"/>
        <w:spacing w:line="360" w:lineRule="auto"/>
        <w:jc w:val="both"/>
        <w:rPr>
          <w:rFonts w:asciiTheme="minorHAnsi" w:hAnsiTheme="minorHAnsi"/>
          <w:sz w:val="22"/>
          <w:szCs w:val="22"/>
          <w:lang w:val="en-GB"/>
        </w:rPr>
      </w:pPr>
      <w:r>
        <w:rPr>
          <w:rFonts w:asciiTheme="minorHAnsi" w:hAnsiTheme="minorHAnsi"/>
          <w:sz w:val="22"/>
          <w:szCs w:val="22"/>
          <w:lang w:val="en-GB"/>
        </w:rPr>
        <w:t>Both the total interest and non-interest income records showed a steady incre</w:t>
      </w:r>
      <w:r w:rsidR="00043B57">
        <w:rPr>
          <w:rFonts w:asciiTheme="minorHAnsi" w:hAnsiTheme="minorHAnsi"/>
          <w:sz w:val="22"/>
          <w:szCs w:val="22"/>
          <w:lang w:val="en-GB"/>
        </w:rPr>
        <w:t>ase between the years 2009 and 2</w:t>
      </w:r>
      <w:r>
        <w:rPr>
          <w:rFonts w:asciiTheme="minorHAnsi" w:hAnsiTheme="minorHAnsi"/>
          <w:sz w:val="22"/>
          <w:szCs w:val="22"/>
          <w:lang w:val="en-GB"/>
        </w:rPr>
        <w:t>012.  A parallel trend also existed with the income/assets ratio.  Similarly, the net interest/ total interest ratio sho</w:t>
      </w:r>
      <w:r w:rsidR="009410F8">
        <w:rPr>
          <w:rFonts w:asciiTheme="minorHAnsi" w:hAnsiTheme="minorHAnsi"/>
          <w:sz w:val="22"/>
          <w:szCs w:val="22"/>
          <w:lang w:val="en-GB"/>
        </w:rPr>
        <w:t>wed an increase where the ratio</w:t>
      </w:r>
      <w:bookmarkStart w:id="0" w:name="_GoBack"/>
      <w:bookmarkEnd w:id="0"/>
      <w:r>
        <w:rPr>
          <w:rFonts w:asciiTheme="minorHAnsi" w:hAnsiTheme="minorHAnsi"/>
          <w:sz w:val="22"/>
          <w:szCs w:val="22"/>
          <w:lang w:val="en-GB"/>
        </w:rPr>
        <w:t xml:space="preserve"> in 2009 doubled in 2012.  A loss was observed in the non-interest income and its ratio.  A detailed look in to the income statements of the bank indicated the personnel expenses as the cause of this.  This should not be regarded, however, as underperformance for Near East Bank has grown rapidly for the last four years opening new branches where the recruitment of new personnel was necessary.</w:t>
      </w:r>
    </w:p>
    <w:p w:rsidR="00084A1D" w:rsidRDefault="00084A1D" w:rsidP="00FA6576">
      <w:pPr>
        <w:pStyle w:val="NoSpacing"/>
        <w:spacing w:line="360" w:lineRule="auto"/>
        <w:jc w:val="both"/>
        <w:rPr>
          <w:rFonts w:asciiTheme="minorHAnsi" w:hAnsiTheme="minorHAnsi"/>
          <w:b/>
          <w:sz w:val="22"/>
          <w:szCs w:val="22"/>
          <w:lang w:val="en-GB"/>
        </w:rPr>
      </w:pPr>
      <w:r>
        <w:rPr>
          <w:rFonts w:asciiTheme="minorHAnsi" w:hAnsiTheme="minorHAnsi"/>
          <w:b/>
          <w:sz w:val="22"/>
          <w:szCs w:val="22"/>
          <w:lang w:val="en-GB"/>
        </w:rPr>
        <w:t>Major finding</w:t>
      </w:r>
      <w:r>
        <w:rPr>
          <w:rFonts w:asciiTheme="minorHAnsi" w:hAnsiTheme="minorHAnsi"/>
          <w:sz w:val="22"/>
          <w:szCs w:val="22"/>
          <w:lang w:val="en-GB"/>
        </w:rPr>
        <w:t xml:space="preserve">:  </w:t>
      </w:r>
      <w:r>
        <w:rPr>
          <w:rFonts w:asciiTheme="minorHAnsi" w:hAnsiTheme="minorHAnsi"/>
          <w:b/>
          <w:sz w:val="22"/>
          <w:szCs w:val="22"/>
          <w:lang w:val="en-GB"/>
        </w:rPr>
        <w:t>The financial performance of Near East Bank is rising steadily.  The return on total Interest and dividend income has doubled over the last four years.</w:t>
      </w:r>
    </w:p>
    <w:p w:rsidR="00084A1D" w:rsidRDefault="00084A1D" w:rsidP="00FA6576">
      <w:pPr>
        <w:pStyle w:val="NoSpacing"/>
        <w:spacing w:line="360" w:lineRule="auto"/>
        <w:jc w:val="both"/>
        <w:rPr>
          <w:rFonts w:asciiTheme="minorHAnsi" w:hAnsiTheme="minorHAnsi"/>
          <w:b/>
          <w:sz w:val="22"/>
          <w:szCs w:val="22"/>
          <w:lang w:val="en-GB"/>
        </w:rPr>
      </w:pPr>
    </w:p>
    <w:p w:rsidR="00084A1D" w:rsidRDefault="00084A1D" w:rsidP="00FA6576">
      <w:pPr>
        <w:pStyle w:val="NoSpacing"/>
        <w:spacing w:line="360" w:lineRule="auto"/>
        <w:jc w:val="both"/>
        <w:rPr>
          <w:rFonts w:asciiTheme="minorHAnsi" w:hAnsiTheme="minorHAnsi"/>
          <w:b/>
          <w:sz w:val="22"/>
          <w:szCs w:val="22"/>
          <w:lang w:val="en-GB"/>
        </w:rPr>
      </w:pPr>
      <w:r>
        <w:rPr>
          <w:rFonts w:asciiTheme="minorHAnsi" w:hAnsiTheme="minorHAnsi"/>
          <w:b/>
          <w:sz w:val="22"/>
          <w:szCs w:val="22"/>
          <w:lang w:val="en-GB"/>
        </w:rPr>
        <w:t>Table:</w:t>
      </w:r>
      <w:r w:rsidR="008F291B">
        <w:rPr>
          <w:rFonts w:asciiTheme="minorHAnsi" w:hAnsiTheme="minorHAnsi"/>
          <w:b/>
          <w:sz w:val="22"/>
          <w:szCs w:val="22"/>
          <w:lang w:val="en-GB"/>
        </w:rPr>
        <w:t xml:space="preserve"> 5.8. Market based performance (Near East Bank)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194"/>
        <w:gridCol w:w="1496"/>
        <w:gridCol w:w="1496"/>
        <w:gridCol w:w="1218"/>
        <w:gridCol w:w="1218"/>
      </w:tblGrid>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b/>
                <w:sz w:val="22"/>
                <w:szCs w:val="22"/>
                <w:lang w:val="en-GB" w:eastAsia="en-US"/>
              </w:rPr>
            </w:pPr>
            <w:r>
              <w:rPr>
                <w:rFonts w:asciiTheme="minorHAnsi" w:hAnsiTheme="minorHAnsi"/>
                <w:b/>
                <w:sz w:val="22"/>
                <w:szCs w:val="22"/>
                <w:lang w:val="en-GB" w:eastAsia="en-US"/>
              </w:rPr>
              <w:t>Market-based performance: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2009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2012</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Market size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rPr>
              <w:t>3,884,217,324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4,043,709,697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Market size growth index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1.04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NE Bank total interest and dividend income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21,456,880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24,391,162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29,109,078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33,502,811</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 xml:space="preserve">NE Bank total interest and dividend income </w:t>
            </w:r>
            <w:r>
              <w:rPr>
                <w:rFonts w:asciiTheme="minorHAnsi" w:hAnsiTheme="minorHAnsi"/>
                <w:sz w:val="22"/>
                <w:szCs w:val="22"/>
                <w:lang w:val="en-GB" w:eastAsia="en-US"/>
              </w:rPr>
              <w:lastRenderedPageBreak/>
              <w:t>growth Index</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lastRenderedPageBreak/>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1.36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1.56</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lastRenderedPageBreak/>
              <w:t>Market growth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w:t>
            </w:r>
          </w:p>
        </w:tc>
      </w:tr>
      <w:tr w:rsidR="00084A1D" w:rsidTr="00084A1D">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Market share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pStyle w:val="NoSpacing"/>
              <w:spacing w:line="360" w:lineRule="auto"/>
              <w:jc w:val="both"/>
              <w:rPr>
                <w:rFonts w:asciiTheme="minorHAnsi" w:hAnsiTheme="minorHAnsi"/>
                <w:sz w:val="22"/>
                <w:szCs w:val="22"/>
                <w:lang w:val="en-GB" w:eastAsia="en-US"/>
              </w:rPr>
            </w:pPr>
            <w:r>
              <w:rPr>
                <w:rFonts w:asciiTheme="minorHAnsi" w:hAnsiTheme="minorHAnsi"/>
                <w:sz w:val="22"/>
                <w:szCs w:val="22"/>
                <w:lang w:val="en-GB" w:eastAsia="en-US"/>
              </w:rPr>
              <w:t>0.55%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A1D" w:rsidRDefault="00084A1D" w:rsidP="00FA6576">
            <w:pPr>
              <w:spacing w:after="0" w:line="360" w:lineRule="auto"/>
              <w:jc w:val="both"/>
              <w:rPr>
                <w:rFonts w:cs="Times New Roman"/>
              </w:rPr>
            </w:pPr>
            <w:r>
              <w:rPr>
                <w:rFonts w:cs="Times New Roman"/>
              </w:rPr>
              <w:t>0.60%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A1D" w:rsidRDefault="00084A1D" w:rsidP="00FA6576">
            <w:pPr>
              <w:spacing w:after="0" w:line="360" w:lineRule="auto"/>
              <w:jc w:val="both"/>
              <w:rPr>
                <w:rFonts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A1D" w:rsidRDefault="00084A1D" w:rsidP="00FA6576">
            <w:pPr>
              <w:spacing w:after="0" w:line="360" w:lineRule="auto"/>
              <w:jc w:val="both"/>
              <w:rPr>
                <w:rFonts w:cs="Times New Roman"/>
              </w:rPr>
            </w:pPr>
          </w:p>
        </w:tc>
      </w:tr>
    </w:tbl>
    <w:p w:rsidR="00084A1D" w:rsidRDefault="00084A1D" w:rsidP="00FA6576">
      <w:pPr>
        <w:spacing w:line="360" w:lineRule="auto"/>
        <w:jc w:val="both"/>
        <w:rPr>
          <w:lang w:val="en-US"/>
        </w:rPr>
      </w:pPr>
    </w:p>
    <w:p w:rsidR="00084A1D" w:rsidRDefault="00084A1D" w:rsidP="00FA6576">
      <w:pPr>
        <w:spacing w:line="360" w:lineRule="auto"/>
        <w:jc w:val="both"/>
        <w:rPr>
          <w:b/>
        </w:rPr>
      </w:pPr>
      <w:r>
        <w:rPr>
          <w:b/>
        </w:rPr>
        <w:t>Findings</w:t>
      </w:r>
    </w:p>
    <w:p w:rsidR="00084A1D" w:rsidRDefault="00084A1D" w:rsidP="00FA6576">
      <w:pPr>
        <w:spacing w:line="360" w:lineRule="auto"/>
        <w:jc w:val="both"/>
      </w:pPr>
      <w:r>
        <w:t>Market-based performance made above compares the company’s income trends to those of the market.  Only two years of market size information was available.  While the market grew by 4% from 2009 to 2010, the Near East Bank grew by a remarkable 14%.  By the year 2012, the Bank enjoyed an income growth of 56%.  Similarly, the market share was on the growth between 2009 and 2010.</w:t>
      </w:r>
    </w:p>
    <w:p w:rsidR="00084A1D" w:rsidRDefault="00084A1D" w:rsidP="00FA6576">
      <w:pPr>
        <w:spacing w:line="360" w:lineRule="auto"/>
        <w:jc w:val="both"/>
        <w:rPr>
          <w:b/>
        </w:rPr>
      </w:pPr>
      <w:r>
        <w:rPr>
          <w:b/>
        </w:rPr>
        <w:t xml:space="preserve">Major finding: The market performance of the Bank between the years 2009-2012 looked good as the growing market share and the expansion of income above the market growth rates reflected.  </w:t>
      </w:r>
    </w:p>
    <w:p w:rsidR="001323F9" w:rsidRDefault="001323F9" w:rsidP="00FA6576">
      <w:pPr>
        <w:spacing w:line="360" w:lineRule="auto"/>
        <w:jc w:val="both"/>
        <w:rPr>
          <w:b/>
        </w:rPr>
      </w:pPr>
    </w:p>
    <w:p w:rsidR="001323F9" w:rsidRDefault="001323F9" w:rsidP="00FA6576">
      <w:pPr>
        <w:spacing w:line="360" w:lineRule="auto"/>
        <w:jc w:val="both"/>
        <w:rPr>
          <w:b/>
        </w:rPr>
      </w:pPr>
      <w:r>
        <w:rPr>
          <w:b/>
        </w:rPr>
        <w:t>5.7</w:t>
      </w:r>
      <w:r>
        <w:rPr>
          <w:b/>
        </w:rPr>
        <w:tab/>
        <w:t>Performance of Near East Bank as viewed by its Management.</w:t>
      </w:r>
    </w:p>
    <w:p w:rsidR="001323F9" w:rsidRPr="00FA6576" w:rsidRDefault="001323F9" w:rsidP="00FA6576">
      <w:pPr>
        <w:spacing w:line="360" w:lineRule="auto"/>
        <w:jc w:val="both"/>
      </w:pPr>
      <w:r w:rsidRPr="00FA6576">
        <w:t>It was evident both at the introductory meeting and the promotional literature that Near East Bank considered itself a high performing company.</w:t>
      </w:r>
      <w:r w:rsidR="00FA6576">
        <w:t xml:space="preserve">  The managers spoken </w:t>
      </w:r>
      <w:r w:rsidR="003C5465">
        <w:t xml:space="preserve">also </w:t>
      </w:r>
      <w:r w:rsidR="00FA6576">
        <w:t>suggested that the Near East Bank</w:t>
      </w:r>
      <w:r w:rsidR="003C5465">
        <w:t xml:space="preserve"> is</w:t>
      </w:r>
      <w:r w:rsidR="00FA6576">
        <w:t>:</w:t>
      </w:r>
    </w:p>
    <w:p w:rsidR="003C5465" w:rsidRPr="00FA6576" w:rsidRDefault="003C5465" w:rsidP="003C5465">
      <w:pPr>
        <w:pStyle w:val="NormalWeb"/>
        <w:numPr>
          <w:ilvl w:val="0"/>
          <w:numId w:val="2"/>
        </w:numPr>
        <w:spacing w:line="360" w:lineRule="auto"/>
        <w:jc w:val="both"/>
        <w:rPr>
          <w:rFonts w:asciiTheme="minorHAnsi" w:hAnsiTheme="minorHAnsi"/>
          <w:sz w:val="22"/>
          <w:szCs w:val="22"/>
        </w:rPr>
      </w:pPr>
      <w:proofErr w:type="gramStart"/>
      <w:r w:rsidRPr="00FA6576">
        <w:rPr>
          <w:rFonts w:asciiTheme="minorHAnsi" w:hAnsiTheme="minorHAnsi"/>
          <w:sz w:val="22"/>
          <w:szCs w:val="22"/>
        </w:rPr>
        <w:t>the</w:t>
      </w:r>
      <w:proofErr w:type="gramEnd"/>
      <w:r w:rsidRPr="00FA6576">
        <w:rPr>
          <w:rFonts w:asciiTheme="minorHAnsi" w:hAnsiTheme="minorHAnsi"/>
          <w:sz w:val="22"/>
          <w:szCs w:val="22"/>
        </w:rPr>
        <w:t xml:space="preserve"> country</w:t>
      </w:r>
      <w:r>
        <w:rPr>
          <w:rFonts w:ascii="Calibri" w:hAnsi="Calibri" w:cs="Calibri"/>
          <w:sz w:val="22"/>
          <w:szCs w:val="22"/>
        </w:rPr>
        <w:t>’</w:t>
      </w:r>
      <w:r w:rsidRPr="00FA6576">
        <w:rPr>
          <w:rFonts w:asciiTheme="minorHAnsi" w:hAnsiTheme="minorHAnsi" w:cs="Calibri"/>
          <w:sz w:val="22"/>
          <w:szCs w:val="22"/>
        </w:rPr>
        <w:t xml:space="preserve">s first local bank </w:t>
      </w:r>
      <w:r>
        <w:rPr>
          <w:rFonts w:asciiTheme="minorHAnsi" w:hAnsiTheme="minorHAnsi" w:cs="Calibri"/>
          <w:sz w:val="22"/>
          <w:szCs w:val="22"/>
        </w:rPr>
        <w:t xml:space="preserve">that opened </w:t>
      </w:r>
      <w:r w:rsidRPr="00FA6576">
        <w:rPr>
          <w:rFonts w:asciiTheme="minorHAnsi" w:hAnsiTheme="minorHAnsi" w:cs="Calibri"/>
          <w:sz w:val="22"/>
          <w:szCs w:val="22"/>
        </w:rPr>
        <w:t xml:space="preserve"> a regional representative office</w:t>
      </w:r>
      <w:r w:rsidRPr="00FA6576">
        <w:rPr>
          <w:rFonts w:asciiTheme="minorHAnsi" w:hAnsiTheme="minorHAnsi"/>
          <w:sz w:val="22"/>
          <w:szCs w:val="22"/>
        </w:rPr>
        <w:t xml:space="preserve"> in Turkey.</w:t>
      </w:r>
    </w:p>
    <w:p w:rsidR="00FA6576" w:rsidRDefault="003C5465" w:rsidP="003C5465">
      <w:pPr>
        <w:pStyle w:val="NormalWeb"/>
        <w:numPr>
          <w:ilvl w:val="0"/>
          <w:numId w:val="2"/>
        </w:numPr>
        <w:spacing w:line="360" w:lineRule="auto"/>
        <w:jc w:val="both"/>
        <w:rPr>
          <w:rFonts w:asciiTheme="minorHAnsi" w:hAnsiTheme="minorHAnsi"/>
          <w:sz w:val="22"/>
          <w:szCs w:val="22"/>
        </w:rPr>
      </w:pPr>
      <w:proofErr w:type="gramStart"/>
      <w:r>
        <w:rPr>
          <w:rFonts w:asciiTheme="minorHAnsi" w:hAnsiTheme="minorHAnsi"/>
          <w:sz w:val="22"/>
          <w:szCs w:val="22"/>
        </w:rPr>
        <w:t>t</w:t>
      </w:r>
      <w:r w:rsidR="009E285A" w:rsidRPr="00FA6576">
        <w:rPr>
          <w:rFonts w:asciiTheme="minorHAnsi" w:hAnsiTheme="minorHAnsi"/>
          <w:sz w:val="22"/>
          <w:szCs w:val="22"/>
        </w:rPr>
        <w:t>he</w:t>
      </w:r>
      <w:proofErr w:type="gramEnd"/>
      <w:r w:rsidR="009E285A" w:rsidRPr="00FA6576">
        <w:rPr>
          <w:rFonts w:asciiTheme="minorHAnsi" w:hAnsiTheme="minorHAnsi"/>
          <w:sz w:val="22"/>
          <w:szCs w:val="22"/>
        </w:rPr>
        <w:t xml:space="preserve"> fastest-growing </w:t>
      </w:r>
      <w:r w:rsidR="00FA6576">
        <w:rPr>
          <w:rFonts w:asciiTheme="minorHAnsi" w:hAnsiTheme="minorHAnsi"/>
          <w:sz w:val="22"/>
          <w:szCs w:val="22"/>
        </w:rPr>
        <w:t>commercial bank in Northern Cyprus (</w:t>
      </w:r>
      <w:r w:rsidR="009E285A" w:rsidRPr="00FA6576">
        <w:rPr>
          <w:rFonts w:asciiTheme="minorHAnsi" w:hAnsiTheme="minorHAnsi"/>
          <w:sz w:val="22"/>
          <w:szCs w:val="22"/>
        </w:rPr>
        <w:t>2011 and 2012</w:t>
      </w:r>
      <w:r w:rsidR="00FA6576">
        <w:rPr>
          <w:rFonts w:asciiTheme="minorHAnsi" w:hAnsiTheme="minorHAnsi"/>
          <w:sz w:val="22"/>
          <w:szCs w:val="22"/>
        </w:rPr>
        <w:t>)</w:t>
      </w:r>
      <w:r w:rsidR="009E285A" w:rsidRPr="00FA6576">
        <w:rPr>
          <w:rFonts w:asciiTheme="minorHAnsi" w:hAnsiTheme="minorHAnsi"/>
          <w:sz w:val="22"/>
          <w:szCs w:val="22"/>
        </w:rPr>
        <w:t xml:space="preserve"> among banks with assets of over €300 million</w:t>
      </w:r>
      <w:r>
        <w:rPr>
          <w:rFonts w:asciiTheme="minorHAnsi" w:hAnsiTheme="minorHAnsi"/>
          <w:sz w:val="22"/>
          <w:szCs w:val="22"/>
        </w:rPr>
        <w:t>.</w:t>
      </w:r>
    </w:p>
    <w:p w:rsidR="00D25B3B" w:rsidRPr="00D25B3B" w:rsidRDefault="00D25B3B" w:rsidP="00FA6576">
      <w:pPr>
        <w:pStyle w:val="NormalWeb"/>
        <w:spacing w:line="360" w:lineRule="auto"/>
        <w:jc w:val="both"/>
        <w:rPr>
          <w:rFonts w:asciiTheme="minorHAnsi" w:hAnsiTheme="minorHAnsi"/>
          <w:sz w:val="22"/>
          <w:szCs w:val="22"/>
        </w:rPr>
      </w:pPr>
      <w:r w:rsidRPr="00D25B3B">
        <w:rPr>
          <w:rFonts w:asciiTheme="minorHAnsi" w:hAnsiTheme="minorHAnsi"/>
          <w:sz w:val="22"/>
          <w:szCs w:val="22"/>
        </w:rPr>
        <w:t xml:space="preserve">In addition, CEO </w:t>
      </w:r>
      <w:proofErr w:type="spellStart"/>
      <w:r w:rsidRPr="00D25B3B">
        <w:rPr>
          <w:rFonts w:asciiTheme="minorHAnsi" w:hAnsiTheme="minorHAnsi"/>
          <w:sz w:val="22"/>
          <w:szCs w:val="22"/>
        </w:rPr>
        <w:t>KozanKarakurt</w:t>
      </w:r>
      <w:proofErr w:type="spellEnd"/>
      <w:r w:rsidRPr="00D25B3B">
        <w:rPr>
          <w:rFonts w:asciiTheme="minorHAnsi" w:hAnsiTheme="minorHAnsi"/>
          <w:sz w:val="22"/>
          <w:szCs w:val="22"/>
        </w:rPr>
        <w:t xml:space="preserve"> put in action a dedicated plan for the bank focusing on services and innovation (NE Bank Website, 2013).  He has been recorded saying:</w:t>
      </w:r>
    </w:p>
    <w:p w:rsidR="009E285A" w:rsidRPr="00D25B3B" w:rsidRDefault="009E285A" w:rsidP="00FA6576">
      <w:pPr>
        <w:pStyle w:val="NormalWeb"/>
        <w:spacing w:line="360" w:lineRule="auto"/>
        <w:jc w:val="both"/>
        <w:rPr>
          <w:rFonts w:asciiTheme="minorHAnsi" w:hAnsiTheme="minorHAnsi"/>
          <w:b/>
          <w:i/>
          <w:sz w:val="22"/>
          <w:szCs w:val="22"/>
        </w:rPr>
      </w:pPr>
      <w:r w:rsidRPr="00D25B3B">
        <w:rPr>
          <w:rFonts w:asciiTheme="minorHAnsi" w:hAnsiTheme="minorHAnsi"/>
          <w:b/>
          <w:i/>
          <w:sz w:val="22"/>
          <w:szCs w:val="22"/>
        </w:rPr>
        <w:t xml:space="preserve">“I have restructured the bank by product and business into a kind of matrix where products are serving businesses and both are measured by their performance against set goals.When we launched private banking a year ago, people laughed, but </w:t>
      </w:r>
      <w:r w:rsidR="00D25B3B" w:rsidRPr="00D25B3B">
        <w:rPr>
          <w:rFonts w:asciiTheme="minorHAnsi" w:hAnsiTheme="minorHAnsi"/>
          <w:b/>
          <w:i/>
          <w:sz w:val="22"/>
          <w:szCs w:val="22"/>
        </w:rPr>
        <w:t>every day</w:t>
      </w:r>
      <w:r w:rsidRPr="00D25B3B">
        <w:rPr>
          <w:rFonts w:asciiTheme="minorHAnsi" w:hAnsiTheme="minorHAnsi"/>
          <w:b/>
          <w:i/>
          <w:sz w:val="22"/>
          <w:szCs w:val="22"/>
        </w:rPr>
        <w:t xml:space="preserve"> we are attracting more and more private-banking customers. Our three private banking specialists know the business inside and out and we now offer derivatives, funds and gold as investment tools. We will continue to develop new private-banking services in the future.”</w:t>
      </w:r>
    </w:p>
    <w:p w:rsidR="00D25B3B" w:rsidRPr="00D25B3B" w:rsidRDefault="00D25B3B" w:rsidP="00FA6576">
      <w:pPr>
        <w:pStyle w:val="NormalWeb"/>
        <w:spacing w:line="360" w:lineRule="auto"/>
        <w:jc w:val="both"/>
        <w:rPr>
          <w:rFonts w:asciiTheme="minorHAnsi" w:hAnsiTheme="minorHAnsi"/>
          <w:b/>
          <w:sz w:val="22"/>
          <w:szCs w:val="22"/>
        </w:rPr>
      </w:pPr>
      <w:r w:rsidRPr="00D25B3B">
        <w:rPr>
          <w:rFonts w:asciiTheme="minorHAnsi" w:hAnsiTheme="minorHAnsi"/>
          <w:b/>
          <w:sz w:val="22"/>
          <w:szCs w:val="22"/>
        </w:rPr>
        <w:lastRenderedPageBreak/>
        <w:t>Major findings:</w:t>
      </w:r>
    </w:p>
    <w:p w:rsidR="00D25B3B" w:rsidRDefault="00D25B3B" w:rsidP="00FA6576">
      <w:pPr>
        <w:pStyle w:val="NormalWeb"/>
        <w:spacing w:line="360" w:lineRule="auto"/>
        <w:jc w:val="both"/>
        <w:rPr>
          <w:rFonts w:asciiTheme="minorHAnsi" w:hAnsiTheme="minorHAnsi"/>
          <w:sz w:val="22"/>
          <w:szCs w:val="22"/>
        </w:rPr>
      </w:pPr>
      <w:r>
        <w:rPr>
          <w:rFonts w:asciiTheme="minorHAnsi" w:hAnsiTheme="minorHAnsi"/>
          <w:sz w:val="22"/>
          <w:szCs w:val="22"/>
        </w:rPr>
        <w:t>Near East Bank is a young growing company.  It is regarded as successful by its management on the grounds that:</w:t>
      </w:r>
    </w:p>
    <w:p w:rsidR="00D25B3B" w:rsidRDefault="00D25B3B" w:rsidP="00F029E2">
      <w:pPr>
        <w:pStyle w:val="NormalWeb"/>
        <w:numPr>
          <w:ilvl w:val="0"/>
          <w:numId w:val="3"/>
        </w:numPr>
        <w:spacing w:line="360" w:lineRule="auto"/>
        <w:jc w:val="both"/>
        <w:rPr>
          <w:rFonts w:asciiTheme="minorHAnsi" w:hAnsiTheme="minorHAnsi"/>
          <w:sz w:val="22"/>
          <w:szCs w:val="22"/>
        </w:rPr>
      </w:pPr>
      <w:r>
        <w:rPr>
          <w:rFonts w:asciiTheme="minorHAnsi" w:hAnsiTheme="minorHAnsi"/>
          <w:sz w:val="22"/>
          <w:szCs w:val="22"/>
        </w:rPr>
        <w:t>It has been the fastest growing bank in Northern Cyprus during the period 2011 and 2012.</w:t>
      </w:r>
    </w:p>
    <w:p w:rsidR="00D25B3B" w:rsidRDefault="00D25B3B" w:rsidP="00F029E2">
      <w:pPr>
        <w:pStyle w:val="NormalWeb"/>
        <w:numPr>
          <w:ilvl w:val="0"/>
          <w:numId w:val="3"/>
        </w:numPr>
        <w:spacing w:line="360" w:lineRule="auto"/>
        <w:jc w:val="both"/>
        <w:rPr>
          <w:rFonts w:asciiTheme="minorHAnsi" w:hAnsiTheme="minorHAnsi"/>
          <w:sz w:val="22"/>
          <w:szCs w:val="22"/>
        </w:rPr>
      </w:pPr>
      <w:r>
        <w:rPr>
          <w:rFonts w:asciiTheme="minorHAnsi" w:hAnsiTheme="minorHAnsi"/>
          <w:sz w:val="22"/>
          <w:szCs w:val="22"/>
        </w:rPr>
        <w:t>I t was the first Turkish Cypriot commercial bank opening an overseas branch in Turkey.</w:t>
      </w:r>
    </w:p>
    <w:p w:rsidR="00F029E2" w:rsidRDefault="00F029E2" w:rsidP="00F029E2">
      <w:pPr>
        <w:pStyle w:val="NormalWeb"/>
        <w:spacing w:line="360" w:lineRule="auto"/>
        <w:jc w:val="both"/>
        <w:rPr>
          <w:rFonts w:asciiTheme="minorHAnsi" w:hAnsiTheme="minorHAnsi"/>
          <w:sz w:val="22"/>
          <w:szCs w:val="22"/>
        </w:rPr>
      </w:pPr>
    </w:p>
    <w:p w:rsidR="00F029E2" w:rsidRPr="00F029E2" w:rsidRDefault="00F029E2" w:rsidP="00F029E2">
      <w:pPr>
        <w:pStyle w:val="NormalWeb"/>
        <w:spacing w:line="360" w:lineRule="auto"/>
        <w:jc w:val="both"/>
        <w:rPr>
          <w:rFonts w:asciiTheme="minorHAnsi" w:hAnsiTheme="minorHAnsi"/>
          <w:b/>
          <w:sz w:val="22"/>
          <w:szCs w:val="22"/>
        </w:rPr>
      </w:pPr>
      <w:r w:rsidRPr="00F029E2">
        <w:rPr>
          <w:rFonts w:asciiTheme="minorHAnsi" w:hAnsiTheme="minorHAnsi"/>
          <w:b/>
          <w:sz w:val="22"/>
          <w:szCs w:val="22"/>
        </w:rPr>
        <w:t>5.8</w:t>
      </w:r>
      <w:r w:rsidRPr="00F029E2">
        <w:rPr>
          <w:rFonts w:asciiTheme="minorHAnsi" w:hAnsiTheme="minorHAnsi"/>
          <w:b/>
          <w:sz w:val="22"/>
          <w:szCs w:val="22"/>
        </w:rPr>
        <w:tab/>
        <w:t>Conclusion</w:t>
      </w:r>
    </w:p>
    <w:p w:rsidR="00F029E2" w:rsidRDefault="00F029E2" w:rsidP="00F029E2">
      <w:pPr>
        <w:spacing w:line="360" w:lineRule="auto"/>
        <w:jc w:val="both"/>
      </w:pPr>
      <w:r>
        <w:t>This chapter presented a list of the major findings based on the empirical research findings of this study.  The next chapter will discuss the findings and offer answers to the original research questions set in chapter one.</w:t>
      </w:r>
    </w:p>
    <w:p w:rsidR="00D25B3B" w:rsidRDefault="00D25B3B" w:rsidP="00FA6576">
      <w:pPr>
        <w:pStyle w:val="NormalWeb"/>
        <w:spacing w:line="360" w:lineRule="auto"/>
        <w:jc w:val="both"/>
        <w:rPr>
          <w:rFonts w:asciiTheme="minorHAnsi" w:hAnsiTheme="minorHAnsi"/>
          <w:sz w:val="22"/>
          <w:szCs w:val="22"/>
        </w:rPr>
      </w:pPr>
    </w:p>
    <w:p w:rsidR="00D25B3B" w:rsidRPr="00FA6576" w:rsidRDefault="00D25B3B" w:rsidP="00FA6576">
      <w:pPr>
        <w:pStyle w:val="NormalWeb"/>
        <w:spacing w:line="360" w:lineRule="auto"/>
        <w:jc w:val="both"/>
        <w:rPr>
          <w:rFonts w:asciiTheme="minorHAnsi" w:hAnsiTheme="minorHAnsi"/>
          <w:sz w:val="22"/>
          <w:szCs w:val="22"/>
        </w:rPr>
      </w:pPr>
    </w:p>
    <w:sectPr w:rsidR="00D25B3B" w:rsidRPr="00FA6576" w:rsidSect="0035489D">
      <w:footerReference w:type="default" r:id="rId8"/>
      <w:pgSz w:w="12240" w:h="15840"/>
      <w:pgMar w:top="1417" w:right="1417" w:bottom="1417" w:left="1417" w:header="708" w:footer="708"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86" w:rsidRDefault="00781B86" w:rsidP="0035489D">
      <w:pPr>
        <w:spacing w:after="0" w:line="240" w:lineRule="auto"/>
      </w:pPr>
      <w:r>
        <w:separator/>
      </w:r>
    </w:p>
  </w:endnote>
  <w:endnote w:type="continuationSeparator" w:id="1">
    <w:p w:rsidR="00781B86" w:rsidRDefault="00781B86" w:rsidP="00354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9922"/>
      <w:docPartObj>
        <w:docPartGallery w:val="Page Numbers (Bottom of Page)"/>
        <w:docPartUnique/>
      </w:docPartObj>
    </w:sdtPr>
    <w:sdtContent>
      <w:p w:rsidR="0035489D" w:rsidRDefault="0044387B">
        <w:pPr>
          <w:pStyle w:val="Footer"/>
          <w:jc w:val="center"/>
        </w:pPr>
        <w:r>
          <w:fldChar w:fldCharType="begin"/>
        </w:r>
        <w:r w:rsidR="00781B86">
          <w:instrText xml:space="preserve"> PAGE   \* MERGEFORMAT </w:instrText>
        </w:r>
        <w:r>
          <w:fldChar w:fldCharType="separate"/>
        </w:r>
        <w:r w:rsidR="00043B57">
          <w:rPr>
            <w:noProof/>
          </w:rPr>
          <w:t>37</w:t>
        </w:r>
        <w:r>
          <w:rPr>
            <w:noProof/>
          </w:rPr>
          <w:fldChar w:fldCharType="end"/>
        </w:r>
      </w:p>
    </w:sdtContent>
  </w:sdt>
  <w:p w:rsidR="0035489D" w:rsidRDefault="00354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86" w:rsidRDefault="00781B86" w:rsidP="0035489D">
      <w:pPr>
        <w:spacing w:after="0" w:line="240" w:lineRule="auto"/>
      </w:pPr>
      <w:r>
        <w:separator/>
      </w:r>
    </w:p>
  </w:footnote>
  <w:footnote w:type="continuationSeparator" w:id="1">
    <w:p w:rsidR="00781B86" w:rsidRDefault="00781B86" w:rsidP="00354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FE4"/>
    <w:multiLevelType w:val="hybridMultilevel"/>
    <w:tmpl w:val="19A6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4C6F74"/>
    <w:multiLevelType w:val="hybridMultilevel"/>
    <w:tmpl w:val="FA764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426BB0"/>
    <w:multiLevelType w:val="hybridMultilevel"/>
    <w:tmpl w:val="1E7C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595F61"/>
    <w:rsid w:val="00043B57"/>
    <w:rsid w:val="00084A1D"/>
    <w:rsid w:val="000D2D61"/>
    <w:rsid w:val="001323F9"/>
    <w:rsid w:val="001B452E"/>
    <w:rsid w:val="001C5CB3"/>
    <w:rsid w:val="002D05FA"/>
    <w:rsid w:val="00344BDE"/>
    <w:rsid w:val="0035489D"/>
    <w:rsid w:val="00394C25"/>
    <w:rsid w:val="003C5465"/>
    <w:rsid w:val="003C6B7E"/>
    <w:rsid w:val="0044387B"/>
    <w:rsid w:val="004C511D"/>
    <w:rsid w:val="005826D5"/>
    <w:rsid w:val="00595F61"/>
    <w:rsid w:val="006D6D40"/>
    <w:rsid w:val="006F068C"/>
    <w:rsid w:val="00781B86"/>
    <w:rsid w:val="00790BD6"/>
    <w:rsid w:val="007A2F9F"/>
    <w:rsid w:val="007E0A5E"/>
    <w:rsid w:val="007F3A1A"/>
    <w:rsid w:val="008271B1"/>
    <w:rsid w:val="008F291B"/>
    <w:rsid w:val="009410F8"/>
    <w:rsid w:val="009C00DB"/>
    <w:rsid w:val="009E285A"/>
    <w:rsid w:val="00A26071"/>
    <w:rsid w:val="00AA0351"/>
    <w:rsid w:val="00C96C1D"/>
    <w:rsid w:val="00D25B3B"/>
    <w:rsid w:val="00D647DF"/>
    <w:rsid w:val="00EB48CC"/>
    <w:rsid w:val="00EC4011"/>
    <w:rsid w:val="00EF53D1"/>
    <w:rsid w:val="00F029E2"/>
    <w:rsid w:val="00FA6576"/>
    <w:rsid w:val="00FD6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9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7DF"/>
    <w:rPr>
      <w:color w:val="0000FF"/>
      <w:u w:val="single"/>
    </w:rPr>
  </w:style>
  <w:style w:type="paragraph" w:styleId="BalloonText">
    <w:name w:val="Balloon Text"/>
    <w:basedOn w:val="Normal"/>
    <w:link w:val="BalloonTextChar"/>
    <w:uiPriority w:val="99"/>
    <w:semiHidden/>
    <w:unhideWhenUsed/>
    <w:rsid w:val="00D6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DF"/>
    <w:rPr>
      <w:rFonts w:ascii="Tahoma" w:hAnsi="Tahoma" w:cs="Tahoma"/>
      <w:sz w:val="16"/>
      <w:szCs w:val="16"/>
      <w:lang w:val="en-GB"/>
    </w:rPr>
  </w:style>
  <w:style w:type="table" w:styleId="TableGrid">
    <w:name w:val="Table Grid"/>
    <w:basedOn w:val="TableNormal"/>
    <w:uiPriority w:val="59"/>
    <w:rsid w:val="000D2D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4C25"/>
    <w:rPr>
      <w:color w:val="808080"/>
    </w:rPr>
  </w:style>
  <w:style w:type="paragraph" w:styleId="NoSpacing">
    <w:name w:val="No Spacing"/>
    <w:basedOn w:val="Normal"/>
    <w:uiPriority w:val="1"/>
    <w:qFormat/>
    <w:rsid w:val="00084A1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C96C1D"/>
    <w:pPr>
      <w:ind w:left="720"/>
      <w:contextualSpacing/>
    </w:pPr>
    <w:rPr>
      <w:rFonts w:eastAsiaTheme="minorHAnsi"/>
    </w:rPr>
  </w:style>
  <w:style w:type="paragraph" w:styleId="NormalWeb">
    <w:name w:val="Normal (Web)"/>
    <w:basedOn w:val="Normal"/>
    <w:uiPriority w:val="99"/>
    <w:semiHidden/>
    <w:unhideWhenUsed/>
    <w:rsid w:val="009E28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5489D"/>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5489D"/>
    <w:rPr>
      <w:lang w:val="en-GB"/>
    </w:rPr>
  </w:style>
  <w:style w:type="paragraph" w:styleId="Footer">
    <w:name w:val="footer"/>
    <w:basedOn w:val="Normal"/>
    <w:link w:val="FooterChar"/>
    <w:uiPriority w:val="99"/>
    <w:unhideWhenUsed/>
    <w:rsid w:val="003548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489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958587">
      <w:bodyDiv w:val="1"/>
      <w:marLeft w:val="0"/>
      <w:marRight w:val="0"/>
      <w:marTop w:val="0"/>
      <w:marBottom w:val="0"/>
      <w:divBdr>
        <w:top w:val="none" w:sz="0" w:space="0" w:color="auto"/>
        <w:left w:val="none" w:sz="0" w:space="0" w:color="auto"/>
        <w:bottom w:val="none" w:sz="0" w:space="0" w:color="auto"/>
        <w:right w:val="none" w:sz="0" w:space="0" w:color="auto"/>
      </w:divBdr>
    </w:div>
    <w:div w:id="921911644">
      <w:bodyDiv w:val="1"/>
      <w:marLeft w:val="0"/>
      <w:marRight w:val="0"/>
      <w:marTop w:val="0"/>
      <w:marBottom w:val="0"/>
      <w:divBdr>
        <w:top w:val="none" w:sz="0" w:space="0" w:color="auto"/>
        <w:left w:val="none" w:sz="0" w:space="0" w:color="auto"/>
        <w:bottom w:val="none" w:sz="0" w:space="0" w:color="auto"/>
        <w:right w:val="none" w:sz="0" w:space="0" w:color="auto"/>
      </w:divBdr>
    </w:div>
    <w:div w:id="963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14</cp:revision>
  <dcterms:created xsi:type="dcterms:W3CDTF">2014-01-17T12:33:00Z</dcterms:created>
  <dcterms:modified xsi:type="dcterms:W3CDTF">2014-02-02T07:34:00Z</dcterms:modified>
</cp:coreProperties>
</file>